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11.xml" ContentType="application/vnd.openxmlformats-officedocument.drawingml.chart+xml"/>
  <Override PartName="/word/charts/chart10.xml" ContentType="application/vnd.openxmlformats-officedocument.drawingml.chart+xml"/>
  <Override PartName="/word/charts/chart9.xml" ContentType="application/vnd.openxmlformats-officedocument.drawingml.chart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word/charts/chart12.xml" ContentType="application/vnd.openxmlformats-officedocument.drawingml.chart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4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отделов государственного железнодорожного надзора МТУ Ространснадзора по СЗФО за </w:t>
      </w: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Отделы государственного железнодорожного надзора МТУ Ространснадзора по СЗФО осуществляют мероприятия по государственному к</w:t>
      </w:r>
      <w:r>
        <w:rPr>
          <w:rFonts w:ascii="Times New Roman" w:hAnsi="Times New Roman" w:cs="Times New Roman"/>
          <w:sz w:val="28"/>
          <w:szCs w:val="28"/>
        </w:rPr>
        <w:t xml:space="preserve">онтролю (надзору) в сфере железнодорожного транспорта в регионах транспортного обслуживания Октябрьской, Северной и Калининградской железных дорог – филиалов ОАО «РЖД», расположенных на территории 19 субъектов Российской Федерации в 4 федеральных округах.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путей общего пользования – 21 тыс. км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путей необщего пользования – 4 тыс. км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 территориально расположены в городах Санкт-Петербург, Ярославль, Иваново, Вологда, Сосногорск, Бологое, Петрозаводск, Псков и Калининград.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Фактическая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 xml:space="preserve">отделов государственного железнодорожного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31.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sz w:val="28"/>
          <w:szCs w:val="28"/>
        </w:rPr>
        <w:t xml:space="preserve">87 </w:t>
      </w:r>
      <w:r>
        <w:rPr>
          <w:rFonts w:ascii="Times New Roman" w:hAnsi="Times New Roman" w:cs="Times New Roman"/>
          <w:sz w:val="28"/>
          <w:szCs w:val="28"/>
        </w:rPr>
        <w:t xml:space="preserve">% от штатной численности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объектов контроля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7037.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контролируемых лиц – 1385.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объектов контроля по категориям риска: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3"/>
        <w:gridCol w:w="4445"/>
        <w:gridCol w:w="4275"/>
      </w:tblGrid>
      <w:tr>
        <w:tblPrEx/>
        <w:trPr>
          <w:trHeight w:val="372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Категория риска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объектов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58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чрезвычайно высокий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72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высокий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72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значительный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58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72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умеренный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6296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72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низкий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58"/>
        </w:trPr>
        <w:tc>
          <w:tcPr>
            <w:tcW w:w="1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7037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Транспортные происшествия и иные события, связанные с нарушением правил безопасности движения и эксплуатации железнодорожного транспорта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мая 2024 г. допущено крушение на перегоне Котельниково – Сальск Северо-Кавказской железной дороги– филиала ОАО «РЖД». Отнесено по ответственности за вагонным ремонтным депо Сосногорск АО «ОМК Стальной путь», </w:t>
      </w:r>
      <w:r>
        <w:rPr>
          <w:rFonts w:ascii="Times New Roman" w:hAnsi="Times New Roman" w:cs="Times New Roman"/>
          <w:sz w:val="28"/>
          <w:szCs w:val="28"/>
        </w:rPr>
        <w:t xml:space="preserve">ныне депо </w:t>
      </w:r>
      <w:r>
        <w:rPr>
          <w:rFonts w:ascii="Times New Roman" w:hAnsi="Times New Roman" w:cs="Times New Roman"/>
          <w:sz w:val="28"/>
          <w:szCs w:val="28"/>
        </w:rPr>
        <w:t xml:space="preserve">расформировано.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июня 2024 года на перего</w:t>
      </w:r>
      <w:r>
        <w:rPr>
          <w:rFonts w:ascii="Times New Roman" w:hAnsi="Times New Roman" w:cs="Times New Roman"/>
          <w:sz w:val="28"/>
          <w:szCs w:val="28"/>
        </w:rPr>
        <w:t xml:space="preserve">не Инта-1 – Угольный Северной железной дороги – филиала ОАО «РЖД» в поезде №511 сообщением Воркута – Новороссийск допущен сход 8 вагонов, из них 7 с опрокидыванием. Последствия: погибло 3 пассажира, повреждено до степени исключения 6 пассажирских вагонов.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9 августа 2024 года на железнодорожной станции Оленегорск Октябрьской железной дороги – филиала ОАО «РЖД» допущен сход 8 грузовых вагонов.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Последствия: тяжело травмирован работник ОАО «РЖД», повреждено 8 вагонов в объеме текущего отцепочного ремонта.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2025 г. на железнодорожной станции Нефтяная </w:t>
      </w:r>
      <w:r>
        <w:rPr>
          <w:rFonts w:ascii="Times New Roman" w:hAnsi="Times New Roman" w:cs="Times New Roman"/>
          <w:sz w:val="28"/>
          <w:szCs w:val="28"/>
        </w:rPr>
        <w:t xml:space="preserve">Приволжской железной дороги – филиала ОАО «РЖД»</w:t>
      </w:r>
      <w:r>
        <w:rPr>
          <w:rFonts w:ascii="Times New Roman" w:hAnsi="Times New Roman" w:cs="Times New Roman"/>
          <w:sz w:val="28"/>
          <w:szCs w:val="28"/>
        </w:rPr>
        <w:t xml:space="preserve"> допущено крушение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Отнесено по ответственности за </w:t>
      </w:r>
      <w:r>
        <w:rPr>
          <w:rFonts w:ascii="Times New Roman" w:hAnsi="Times New Roman" w:cs="Times New Roman"/>
          <w:sz w:val="28"/>
          <w:szCs w:val="28"/>
        </w:rPr>
        <w:t xml:space="preserve">Акционерным обществом «Тихвинский вагоностроительный завод».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 сентября 2025 г. на станции Семрино Октябрьской железной дороги – филиала ОАО «РЖД» допущен сход тепловоза серии ТЭП70БС № 362 всеми колесными парами с последующим опрокидыванием на правую по ходу движения сторону.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Последствия: смертельно травмирован машинист-инструктор Донцов Д.А., поврежден до степени исключения локомотив ТЭП70БС № 362, повреждены элементы инфраструктуры.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80" w:type="dxa"/>
        <w:tblInd w:w="-10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38"/>
        <w:gridCol w:w="1067"/>
        <w:gridCol w:w="1175"/>
      </w:tblGrid>
      <w:tr>
        <w:tblPrEx/>
        <w:trPr>
          <w:trHeight w:val="442"/>
        </w:trPr>
        <w:tc>
          <w:tcPr>
            <w:gridSpan w:val="3"/>
            <w:shd w:val="clear" w:color="auto" w:fill="auto"/>
            <w:tcW w:w="9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Распределение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транспортных происшествий (крушение)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42"/>
        </w:trPr>
        <w:tc>
          <w:tcPr>
            <w:shd w:val="clear" w:color="auto" w:fill="auto"/>
            <w:tcW w:w="73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42"/>
        </w:trPr>
        <w:tc>
          <w:tcPr>
            <w:shd w:val="clear" w:color="auto" w:fill="auto"/>
            <w:tcW w:w="73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1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42"/>
        </w:trPr>
        <w:tc>
          <w:tcPr>
            <w:shd w:val="clear" w:color="auto" w:fill="auto"/>
            <w:tcW w:w="73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1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42"/>
        </w:trPr>
        <w:tc>
          <w:tcPr>
            <w:shd w:val="clear" w:color="auto" w:fill="auto"/>
            <w:tcW w:w="73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1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72"/>
        </w:trPr>
        <w:tc>
          <w:tcPr>
            <w:shd w:val="clear" w:color="auto" w:fill="auto"/>
            <w:tcW w:w="73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1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56" w:type="dxa"/>
        <w:tblInd w:w="-10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0"/>
        <w:gridCol w:w="1064"/>
        <w:gridCol w:w="1172"/>
      </w:tblGrid>
      <w:tr>
        <w:tblPrEx/>
        <w:trPr>
          <w:trHeight w:val="420"/>
        </w:trPr>
        <w:tc>
          <w:tcPr>
            <w:gridSpan w:val="3"/>
            <w:shd w:val="clear" w:color="auto" w:fill="auto"/>
            <w:tcW w:w="95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Распределение 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железнодорожного подвижного состава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7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28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Всего по путям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28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Всего по путям необщего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28"/>
        </w:trPr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73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bottom w:val="none" w:color="000000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r>
        <w:rPr>
          <w:lang w:eastAsia="ru-RU"/>
        </w:rPr>
        <w:drawing>
          <wp:inline distT="0" distB="0" distL="0" distR="0">
            <wp:extent cx="6257925" cy="3781425"/>
            <wp:effectExtent l="0" t="0" r="0" b="0"/>
            <wp:docPr id="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57925" cy="4524375"/>
            <wp:effectExtent l="0" t="0" r="0" b="0"/>
            <wp:docPr id="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Динамика по предприятиям, допускавшим сходы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43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55"/>
        <w:gridCol w:w="2756"/>
        <w:gridCol w:w="2066"/>
        <w:gridCol w:w="2066"/>
      </w:tblGrid>
      <w:tr>
        <w:tblPrEx/>
        <w:trPr>
          <w:trHeight w:val="323"/>
        </w:trPr>
        <w:tc>
          <w:tcPr>
            <w:shd w:val="clear" w:color="auto" w:fill="auto"/>
            <w:tcW w:w="275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5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Северсталь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ПСК РЖД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Монди СЛПК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«Онега Неруд»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Локомотив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НПАО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Светогорский ЦБК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МонзаЖелТранс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«Северсталь-Вторчермет»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«Рутгерс Севертар»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ПЖТ Думпкар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ТЗБ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«Газпром трубинвест»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МетОптТорг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Плитный Мир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/>
        </w:trPr>
        <w:tc>
          <w:tcPr>
            <w:gridSpan w:val="2"/>
            <w:shd w:val="clear" w:color="auto" w:fill="auto"/>
            <w:tcW w:w="55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Полар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eastAsia="ru-RU"/>
        </w:rPr>
        <w:drawing>
          <wp:inline distT="0" distB="0" distL="0" distR="0">
            <wp:extent cx="6248400" cy="3642360"/>
            <wp:effectExtent l="0" t="0" r="0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сновной причиной ДТП на железнодорожных переездах по-прежнему остается </w:t>
      </w:r>
      <w:r>
        <w:rPr>
          <w:rFonts w:ascii="Times New Roman" w:hAnsi="Times New Roman" w:cs="Times New Roman"/>
          <w:sz w:val="28"/>
          <w:szCs w:val="28"/>
        </w:rPr>
        <w:t xml:space="preserve">низкий уровень дисциплины водителей автотранспортных средств, продолжающих грубо нарушать ПДД, что приводит к трагическим последствиям – гибели и увечью большого числа граждан, вызывает широкий общественный резонанс и требует принятия незамедлительных мер.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Перевозка опасных грузов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48400" cy="347472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регионах транспортного обслуживания Октябрьской, Северной и Калининградской железных дорог было допущено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событий (в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), связанных с нарушением правил безопасности движения и эксплуатации железнодорожного транспорта, классифицированны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, как происшествия при перевозке (транспортировке) опасных грузов (связанные с просыпанием (проливом или парением), воспламенением (возгоранием), задымлением опасных грузов), возникшие вследствие повр</w:t>
      </w:r>
      <w:r>
        <w:rPr>
          <w:rFonts w:ascii="Times New Roman" w:hAnsi="Times New Roman" w:cs="Times New Roman"/>
          <w:sz w:val="28"/>
          <w:szCs w:val="28"/>
        </w:rPr>
        <w:t xml:space="preserve">еждения или неисправности вагона или контейнера, повреждения упаковки, неплотно закрытых люков вагона, дефекта (повреждения) котла вагона-цистерны, дефекта (повреждения) арматуры котла вагона-цистерны, дефекта (повреждения) сливного прибора вагона-цистерны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поднадзорной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795 хозяйствующих субъектов имеют лицензии на осуществление погрузочно-разгрузочно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применительно к опасным грузам на железнодорожном транспорте, 6 - на осуществление деятельности на перевозку железнодорожным транспортом пассажиров и 5 - на осуществление деятельности по перевозкам железнодорожным транспортом опасных грузов.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33160" cy="291846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6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4"/>
        <w:gridCol w:w="704"/>
        <w:gridCol w:w="704"/>
        <w:gridCol w:w="532"/>
        <w:gridCol w:w="696"/>
        <w:gridCol w:w="696"/>
        <w:gridCol w:w="548"/>
        <w:gridCol w:w="696"/>
        <w:gridCol w:w="696"/>
        <w:gridCol w:w="548"/>
        <w:gridCol w:w="696"/>
        <w:gridCol w:w="696"/>
        <w:gridCol w:w="551"/>
        <w:gridCol w:w="5"/>
      </w:tblGrid>
      <w:tr>
        <w:tblPrEx/>
        <w:trPr>
          <w:trHeight w:val="379"/>
        </w:trPr>
        <w:tc>
          <w:tcPr>
            <w:shd w:val="clear" w:color="auto" w:fill="auto"/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Железные дороги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W w:w="7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80"/>
        </w:trPr>
        <w:tc>
          <w:tcPr>
            <w:tcW w:w="19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1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травмированных граждан (чел)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травмированных граждан со смертельным исходом (чел)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травмированных детей до 18 лет (чел)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19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травмированных детей со смертельным исходом (чел)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1"/>
        </w:trPr>
        <w:tc>
          <w:tcPr>
            <w:tcW w:w="19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93"/>
        </w:trPr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Октябрьская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9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9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51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93"/>
        </w:trPr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Калининградская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9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9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51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93"/>
        </w:trPr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Северная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9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9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51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93"/>
        </w:trPr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69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9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48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89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51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680"/>
        <w:jc w:val="both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 мая 2025 г. вступил в силу Приказ Министерства транспорта Российской Федерации от 3 апреля 2025 г. № 117 «О внесении изменения в перече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нь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транспорта, утвержденный приказом Министерства транспорта Российской Федерации от 8 апреля 2024 г. № 113»,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которым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добавлен в перечень индикаторов риска пункт 22 -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ыявление двух случаев травмирования граждан, произошедших на одном и том же пешеходном переходе чер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ез железнодорожные пути общего пользования, принадлежащем контролируемому лицу, осуществляющему деятельность по эксплуатации инфраструктуры железнодорожного транспорта общего пользования, в течение года со дня выявления первого случая такого травмирования.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680"/>
        <w:jc w:val="both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25540" cy="3215640"/>
            <wp:effectExtent l="0" t="0" r="3810" b="381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контрольных (надзорных) мероприятий с взаимодействием было выявлено </w:t>
      </w:r>
      <w:r>
        <w:rPr>
          <w:rFonts w:ascii="Times New Roman" w:hAnsi="Times New Roman" w:cs="Times New Roman"/>
          <w:sz w:val="28"/>
          <w:szCs w:val="28"/>
        </w:rPr>
        <w:t xml:space="preserve">353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 (202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1153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мобильного приложения Инспектор.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63" w:type="dxa"/>
        <w:tblInd w:w="-113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2"/>
        <w:gridCol w:w="1697"/>
        <w:gridCol w:w="2061"/>
        <w:gridCol w:w="2294"/>
        <w:gridCol w:w="3029"/>
      </w:tblGrid>
      <w:tr>
        <w:tblPrEx/>
        <w:trPr>
          <w:trHeight w:val="588"/>
        </w:trPr>
        <w:tc>
          <w:tcPr>
            <w:shd w:val="clear" w:color="auto" w:fill="auto"/>
            <w:tcW w:w="7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Дат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проведения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Вид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ероприяти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Действие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Контролируемое лицо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22.04.2025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Выездная 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«БВРЗ Новотранс»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W w:w="7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22.04.2025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Выездная 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Опрос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«БВРЗ Новотранс»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65"/>
        </w:trPr>
        <w:tc>
          <w:tcPr>
            <w:shd w:val="clear" w:color="auto" w:fill="auto"/>
            <w:tcW w:w="7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Выездная 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ПАО «Северсталь»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W w:w="7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Выездная 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Опрос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ПАО «Северсталь»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W w:w="7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Выездная 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«ПСК РЖД»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W w:w="7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Выездная 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Опрос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«ПСК РЖД»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W w:w="7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0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Выездная 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29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Опрос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2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Ивановская дистанция инфраструктуры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172200" cy="3360420"/>
            <wp:effectExtent l="0" t="0" r="0" b="0"/>
            <wp:docPr id="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lang w:eastAsia="ru-RU"/>
        </w:rPr>
        <w:drawing>
          <wp:inline distT="0" distB="0" distL="0" distR="0">
            <wp:extent cx="6172200" cy="3429000"/>
            <wp:effectExtent l="0" t="0" r="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Профилактические мероприятия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26" w:type="dxa"/>
        <w:tblLook w:val="04A0" w:firstRow="1" w:lastRow="0" w:firstColumn="1" w:lastColumn="0" w:noHBand="0" w:noVBand="1"/>
      </w:tblPr>
      <w:tblGrid>
        <w:gridCol w:w="5667"/>
        <w:gridCol w:w="2158"/>
        <w:gridCol w:w="1901"/>
      </w:tblGrid>
      <w:tr>
        <w:tblPrEx/>
        <w:trPr>
          <w:trHeight w:val="41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7" w:type="dxa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256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blPrEx/>
        <w:trPr>
          <w:trHeight w:val="42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правоприменительной практики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Меры стимулирования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обросовестности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Объявление предостережения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712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4577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Самообследование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9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66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215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63640" cy="3611880"/>
            <wp:effectExtent l="0" t="0" r="3810" b="7620"/>
            <wp:docPr id="9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Основные нарушения, допускаемые организациями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железнодорожного транспорта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следующие: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прошедший ремонт железнодорожный подвижной состав не соответствует требованиям ремонтной или эксплуатационной документации (в части требований к ремонту);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отсутствуют технологические карты на определенные виды работ;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недостаточный уровень технологической оснащенности локомотиворемонтного (вагоноремонтного) предприятия (качество ремонтно-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технологического оборудования и оснастки, в том числе испытательного оборудования и средств измерений);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недостаточный уровень квалификации работников, осуществляющих ремонт;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несоответствие номенклатуры технологических документов, их оформления, порядка учета, хранения и внесения изменений требованиям стандартов (не актуализированные технологические процессы и т.д.);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недостаточная укомплектованность штатных единиц;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невыполнение годовых/квартальных заявок на поставку товарно-материальных ценностей, необходимых для обеспечения технологического процесса ремонта железнодорожного подвижного состава;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несоблюдение требований по входному контролю поставляемых товарно-материальных ценностей – запасных частей и материалов (наличие сопроводительной документа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ции на продукцию, удостоверяющей качество и комплектность продукции; контроль соответствия качества и комплектности продукции требованиям конструкторской и нормативно-технической документации и применения ее в соответствии с протоколами разрешения и т.д.).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ыдача свидетельств на право управления курсирующими по железнодорожным путям локомотивом, мотор-вагонным подвижным составом и (или) специальным самоходным подвижным составом.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40780" cy="4038600"/>
            <wp:effectExtent l="0" t="0" r="7620" b="0"/>
            <wp:docPr id="1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6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6570"/>
        <w:gridCol w:w="1468"/>
        <w:gridCol w:w="1750"/>
      </w:tblGrid>
      <w:tr>
        <w:tblPrEx/>
        <w:trPr>
          <w:trHeight w:val="351"/>
        </w:trPr>
        <w:tc>
          <w:tcPr>
            <w:tcW w:w="6570" w:type="dxa"/>
            <w:textDirection w:val="lrTb"/>
            <w:noWrap/>
          </w:tcPr>
          <w:p>
            <w:pPr>
              <w:jc w:val="both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351"/>
        </w:trPr>
        <w:tc>
          <w:tcPr>
            <w:tcW w:w="6570" w:type="dxa"/>
            <w:textDirection w:val="lrTb"/>
            <w:noWrap/>
          </w:tcPr>
          <w:p>
            <w:pPr>
              <w:jc w:val="both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кандидатов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51"/>
        </w:trPr>
        <w:tc>
          <w:tcPr>
            <w:tcW w:w="6570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теоретических знаний (комиссии)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51"/>
        </w:trPr>
        <w:tc>
          <w:tcPr>
            <w:tcW w:w="6570" w:type="dxa"/>
            <w:textDirection w:val="lrTb"/>
            <w:noWrap/>
          </w:tcPr>
          <w:p>
            <w:pPr>
              <w:jc w:val="both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Выдано свидетельств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759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51"/>
        </w:trPr>
        <w:tc>
          <w:tcPr>
            <w:tcW w:w="6570" w:type="dxa"/>
            <w:textDirection w:val="lrTb"/>
            <w:noWrap/>
          </w:tcPr>
          <w:p>
            <w:pPr>
              <w:jc w:val="both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отказов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50" w:type="dxa"/>
            <w:textDirection w:val="lrTb"/>
            <w:noWrap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 начала 2025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применяется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функционал Картриджа «Выданных свидетельств на право упра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вления подвижным составом» (Картридж ВСМ) в части реализации механизма электронного взаимодействия с единым личным кабинетом заявителя (ЕЛК) на едином портале государственных и муниципальных услуг (ЕПГУ), с Единым реестром разрешительных документов (ЕРУЛ).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Рассмотрение обращений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отчетном периоде 2025 года </w:t>
      </w:r>
      <w:r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 xml:space="preserve">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76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числе, п</w:t>
      </w:r>
      <w:r>
        <w:rPr>
          <w:rFonts w:ascii="Times New Roman" w:hAnsi="Times New Roman" w:cs="Times New Roman"/>
          <w:sz w:val="28"/>
          <w:szCs w:val="28"/>
        </w:rPr>
        <w:t xml:space="preserve">осредством Платформы обратной связи (ПОС) Единого портала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48400" cy="3562350"/>
            <wp:effectExtent l="0" t="0" r="0" b="0"/>
            <wp:docPr id="11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drawing>
          <wp:inline distT="0" distB="0" distL="0" distR="0">
            <wp:extent cx="6225540" cy="4396740"/>
            <wp:effectExtent l="0" t="0" r="3810" b="3810"/>
            <wp:docPr id="1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lang w:eastAsia="ru-RU"/>
        </w:rPr>
      </w:r>
      <w:r>
        <w:rPr>
          <w:lang w:eastAsia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взыскиваемости </w:t>
      </w:r>
      <w:r>
        <w:rPr>
          <w:rFonts w:ascii="Times New Roman" w:hAnsi="Times New Roman" w:cs="Times New Roman"/>
          <w:sz w:val="28"/>
          <w:szCs w:val="28"/>
        </w:rPr>
        <w:t xml:space="preserve">штрафов составил 98,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0 % за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месяцев 2025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2"/>
    <w:link w:val="823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832"/>
    <w:link w:val="82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32"/>
    <w:link w:val="82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832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832"/>
    <w:link w:val="827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832"/>
    <w:link w:val="828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832"/>
    <w:link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832"/>
    <w:link w:val="830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832"/>
    <w:link w:val="831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832"/>
    <w:link w:val="845"/>
    <w:uiPriority w:val="10"/>
    <w:rPr>
      <w:sz w:val="48"/>
      <w:szCs w:val="48"/>
    </w:rPr>
  </w:style>
  <w:style w:type="character" w:styleId="674">
    <w:name w:val="Subtitle Char"/>
    <w:basedOn w:val="832"/>
    <w:link w:val="847"/>
    <w:uiPriority w:val="11"/>
    <w:rPr>
      <w:sz w:val="24"/>
      <w:szCs w:val="24"/>
    </w:rPr>
  </w:style>
  <w:style w:type="character" w:styleId="675">
    <w:name w:val="Quote Char"/>
    <w:link w:val="852"/>
    <w:uiPriority w:val="29"/>
    <w:rPr>
      <w:i/>
    </w:rPr>
  </w:style>
  <w:style w:type="character" w:styleId="676">
    <w:name w:val="Intense Quote Char"/>
    <w:link w:val="854"/>
    <w:uiPriority w:val="30"/>
    <w:rPr>
      <w:i/>
    </w:rPr>
  </w:style>
  <w:style w:type="character" w:styleId="677">
    <w:name w:val="Header Char"/>
    <w:basedOn w:val="832"/>
    <w:link w:val="865"/>
    <w:uiPriority w:val="99"/>
  </w:style>
  <w:style w:type="character" w:styleId="678">
    <w:name w:val="Footer Char"/>
    <w:basedOn w:val="832"/>
    <w:link w:val="867"/>
    <w:uiPriority w:val="99"/>
  </w:style>
  <w:style w:type="character" w:styleId="679">
    <w:name w:val="Caption Char"/>
    <w:basedOn w:val="844"/>
    <w:link w:val="867"/>
    <w:uiPriority w:val="99"/>
  </w:style>
  <w:style w:type="table" w:styleId="680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0eef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0eef9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0eef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0eef9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2eef9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2eef9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2eb4e5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77b7e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28d1d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8bd6c0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3e885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62a39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0eef9" w:themeFill="accent1" w:themeFillTint="34"/>
    </w:tblPr>
    <w:tblStylePr w:type="band1Horz">
      <w:tcPr>
        <w:shd w:val="clear" w:color="ffffff" w:themeColor="accent1" w:themeTint="75" w:fill="97d9f2" w:themeFill="accent1" w:themeFillTint="75"/>
      </w:tcPr>
    </w:tblStylePr>
    <w:tblStylePr w:type="band1Vert">
      <w:tcPr>
        <w:shd w:val="clear" w:color="ffffff" w:themeColor="accent1" w:themeTint="75" w:fill="97d9f2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cade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cade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cade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cade4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e7f6" w:themeFill="accent2" w:themeFillTint="32"/>
    </w:tblPr>
    <w:tblStylePr w:type="band1Horz">
      <w:tcPr>
        <w:shd w:val="clear" w:color="ffffff" w:themeColor="accent2" w:themeTint="75" w:fill="95c7ea" w:themeFill="accent2" w:themeFillTint="75"/>
      </w:tcPr>
    </w:tblStylePr>
    <w:tblStylePr w:type="band1Vert">
      <w:tcPr>
        <w:shd w:val="clear" w:color="ffffff" w:themeColor="accent2" w:themeTint="75" w:fill="95c7ea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2683c6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2683c6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2683c6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2683c6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3f5f6" w:themeFill="accent3" w:themeFillTint="34"/>
    </w:tblPr>
    <w:tblStylePr w:type="band1Horz">
      <w:tcPr>
        <w:shd w:val="clear" w:color="ffffff" w:themeColor="accent3" w:themeTint="75" w:fill="9be9ec" w:themeFill="accent3" w:themeFillTint="75"/>
      </w:tcPr>
    </w:tblStylePr>
    <w:tblStylePr w:type="band1Vert">
      <w:tcPr>
        <w:shd w:val="clear" w:color="ffffff" w:themeColor="accent3" w:themeTint="75" w:fill="9be9ec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27ced7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27ced7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27ced7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27ced7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8f1ea" w:themeFill="accent4" w:themeFillTint="34"/>
    </w:tblPr>
    <w:tblStylePr w:type="band1Horz">
      <w:tcPr>
        <w:shd w:val="clear" w:color="ffffff" w:themeColor="accent4" w:themeTint="75" w:fill="a8dfcf" w:themeFill="accent4" w:themeFillTint="75"/>
      </w:tcPr>
    </w:tblStylePr>
    <w:tblStylePr w:type="band1Vert">
      <w:tcPr>
        <w:shd w:val="clear" w:color="ffffff" w:themeColor="accent4" w:themeTint="75" w:fill="a8dfc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42ba97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42ba97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42ba97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42ba97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3ead9" w:themeFill="accent5" w:themeFillTint="34"/>
    </w:tblPr>
    <w:tblStylePr w:type="band1Horz">
      <w:tcPr>
        <w:shd w:val="clear" w:color="ffffff" w:themeColor="accent5" w:themeTint="75" w:fill="9cd1ab" w:themeFill="accent5" w:themeFillTint="75"/>
      </w:tcPr>
    </w:tblStylePr>
    <w:tblStylePr w:type="band1Vert">
      <w:tcPr>
        <w:shd w:val="clear" w:color="ffffff" w:themeColor="accent5" w:themeTint="75" w:fill="9cd1a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3e885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3e885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3e885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3e8853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feceb" w:themeFill="accent6" w:themeFillTint="34"/>
    </w:tblPr>
    <w:tblStylePr w:type="band1Horz">
      <w:tcPr>
        <w:shd w:val="clear" w:color="ffffff" w:themeColor="accent6" w:themeTint="75" w:fill="b7d4d2" w:themeFill="accent6" w:themeFillTint="75"/>
      </w:tcPr>
    </w:tblStylePr>
    <w:tblStylePr w:type="band1Vert">
      <w:tcPr>
        <w:shd w:val="clear" w:color="ffffff" w:themeColor="accent6" w:themeTint="75" w:fill="b7d4d2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62a39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62a39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62a39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62a39f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0eef9" w:themeFill="accent1" w:themeFillTint="34"/>
      </w:tcPr>
    </w:tblStylePr>
    <w:tblStylePr w:type="band1Vert">
      <w:tcPr>
        <w:shd w:val="clear" w:color="ffffff" w:themeColor="accent1" w:themeTint="34" w:fill="d0eef9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89ac5" w:themeColor="accent1" w:themeTint="80" w:themeShade="95"/>
      </w:rPr>
    </w:tblStylePr>
    <w:tblStylePr w:type="firstRow">
      <w:rPr>
        <w:b/>
        <w:color w:val="189ac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89ac5" w:themeColor="accent1" w:themeTint="80" w:themeShade="95"/>
      </w:rPr>
    </w:tblStylePr>
    <w:tblStylePr w:type="lastRow">
      <w:rPr>
        <w:b/>
        <w:color w:val="189ac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d1e7f6" w:themeFill="accent2" w:themeFillTint="32"/>
      </w:tcPr>
    </w:tblStylePr>
    <w:tblStylePr w:type="band1Vert">
      <w:tcPr>
        <w:shd w:val="clear" w:color="ffffff" w:themeColor="accent2" w:themeTint="32" w:fill="d1e7f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2170a8" w:themeColor="accent2" w:themeTint="97" w:themeShade="95"/>
      </w:rPr>
    </w:tblStylePr>
    <w:tblStylePr w:type="firstRow">
      <w:rPr>
        <w:b/>
        <w:color w:val="2170a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2170a8" w:themeColor="accent2" w:themeTint="97" w:themeShade="95"/>
      </w:rPr>
    </w:tblStylePr>
    <w:tblStylePr w:type="lastRow">
      <w:rPr>
        <w:b/>
        <w:color w:val="2170a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d3f5f6" w:themeFill="accent3" w:themeFillTint="34"/>
      </w:tcPr>
    </w:tblStylePr>
    <w:tblStylePr w:type="band1Vert">
      <w:tcPr>
        <w:shd w:val="clear" w:color="ffffff" w:themeColor="accent3" w:themeTint="34" w:fill="d3f5f6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177b7c" w:themeColor="accent3" w:themeTint="FE" w:themeShade="95"/>
      </w:rPr>
    </w:tblStylePr>
    <w:tblStylePr w:type="firstRow">
      <w:rPr>
        <w:b/>
        <w:color w:val="177b7c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77b7c" w:themeColor="accent3" w:themeTint="FE" w:themeShade="95"/>
      </w:rPr>
    </w:tblStylePr>
    <w:tblStylePr w:type="lastRow">
      <w:rPr>
        <w:b/>
        <w:color w:val="177b7c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d8f1ea" w:themeFill="accent4" w:themeFillTint="34"/>
      </w:tcPr>
    </w:tblStylePr>
    <w:tblStylePr w:type="band1Vert">
      <w:tcPr>
        <w:shd w:val="clear" w:color="ffffff" w:themeColor="accent4" w:themeTint="34" w:fill="d8f1ea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36977b" w:themeColor="accent4" w:themeTint="9A" w:themeShade="95"/>
      </w:rPr>
    </w:tblStylePr>
    <w:tblStylePr w:type="firstRow">
      <w:rPr>
        <w:b/>
        <w:color w:val="36977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36977b" w:themeColor="accent4" w:themeTint="9A" w:themeShade="95"/>
      </w:rPr>
    </w:tblStylePr>
    <w:tblStylePr w:type="lastRow">
      <w:rPr>
        <w:b/>
        <w:color w:val="36977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3ead9" w:themeFill="accent5" w:themeFillTint="34"/>
      </w:tcPr>
    </w:tblStylePr>
    <w:tblStylePr w:type="band1Vert">
      <w:tcPr>
        <w:shd w:val="clear" w:color="ffffff" w:themeColor="accent5" w:themeTint="34" w:fill="d3ead9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4f30" w:themeColor="accent5" w:themeShade="95"/>
      </w:rPr>
    </w:tblStylePr>
    <w:tblStylePr w:type="firstRow">
      <w:rPr>
        <w:b/>
        <w:color w:val="244f3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4f30" w:themeColor="accent5" w:themeShade="95"/>
      </w:rPr>
    </w:tblStylePr>
    <w:tblStylePr w:type="lastRow">
      <w:rPr>
        <w:b/>
        <w:color w:val="244f3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feceb" w:themeFill="accent6" w:themeFillTint="34"/>
      </w:tcPr>
    </w:tblStylePr>
    <w:tblStylePr w:type="band1Vert">
      <w:tcPr>
        <w:shd w:val="clear" w:color="ffffff" w:themeColor="accent6" w:themeTint="34" w:fill="dfeceb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4f30" w:themeColor="accent5" w:themeShade="95"/>
      </w:rPr>
    </w:tblStylePr>
    <w:tblStylePr w:type="firstRow">
      <w:rPr>
        <w:b/>
        <w:color w:val="244f3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4f30" w:themeColor="accent5" w:themeShade="95"/>
      </w:rPr>
    </w:tblStylePr>
    <w:tblStylePr w:type="lastRow">
      <w:rPr>
        <w:b/>
        <w:color w:val="244f3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89ac5" w:themeColor="accent1" w:themeTint="80" w:themeShade="95"/>
        <w:sz w:val="22"/>
      </w:rPr>
      <w:tcPr>
        <w:shd w:val="clear" w:color="ffffff" w:themeColor="accent1" w:themeTint="34" w:fill="d0eef9" w:themeFill="accent1" w:themeFillTint="34"/>
      </w:tcPr>
    </w:tblStylePr>
    <w:tblStylePr w:type="band1Vert">
      <w:tcPr>
        <w:shd w:val="clear" w:color="ffffff" w:themeColor="accent1" w:themeTint="34" w:fill="d0eef9" w:themeFill="accent1" w:themeFillTint="34"/>
      </w:tcPr>
    </w:tblStylePr>
    <w:tblStylePr w:type="band2Horz">
      <w:rPr>
        <w:rFonts w:ascii="Arial" w:hAnsi="Arial"/>
        <w:color w:val="189ac5" w:themeColor="accent1" w:themeTint="80" w:themeShade="95"/>
        <w:sz w:val="22"/>
      </w:rPr>
    </w:tblStylePr>
    <w:tblStylePr w:type="firstCol">
      <w:rPr>
        <w:rFonts w:ascii="Arial" w:hAnsi="Arial"/>
        <w:i/>
        <w:color w:val="189ac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89ac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89ac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89ac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2170a8" w:themeColor="accent2" w:themeTint="97" w:themeShade="95"/>
        <w:sz w:val="22"/>
      </w:rPr>
      <w:tcPr>
        <w:shd w:val="clear" w:color="ffffff" w:themeColor="accent2" w:themeTint="32" w:fill="d1e7f6" w:themeFill="accent2" w:themeFillTint="32"/>
      </w:tcPr>
    </w:tblStylePr>
    <w:tblStylePr w:type="band1Vert">
      <w:tcPr>
        <w:shd w:val="clear" w:color="ffffff" w:themeColor="accent2" w:themeTint="32" w:fill="d1e7f6" w:themeFill="accent2" w:themeFillTint="32"/>
      </w:tcPr>
    </w:tblStylePr>
    <w:tblStylePr w:type="band2Horz">
      <w:rPr>
        <w:rFonts w:ascii="Arial" w:hAnsi="Arial"/>
        <w:color w:val="2170a8" w:themeColor="accent2" w:themeTint="97" w:themeShade="95"/>
        <w:sz w:val="22"/>
      </w:rPr>
    </w:tblStylePr>
    <w:tblStylePr w:type="firstCol">
      <w:rPr>
        <w:rFonts w:ascii="Arial" w:hAnsi="Arial"/>
        <w:i/>
        <w:color w:val="2170a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2170a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170a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170a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177b7c" w:themeColor="accent3" w:themeTint="FE" w:themeShade="95"/>
        <w:sz w:val="22"/>
      </w:rPr>
      <w:tcPr>
        <w:shd w:val="clear" w:color="ffffff" w:themeColor="accent3" w:themeTint="34" w:fill="d3f5f6" w:themeFill="accent3" w:themeFillTint="34"/>
      </w:tcPr>
    </w:tblStylePr>
    <w:tblStylePr w:type="band1Vert">
      <w:tcPr>
        <w:shd w:val="clear" w:color="ffffff" w:themeColor="accent3" w:themeTint="34" w:fill="d3f5f6" w:themeFill="accent3" w:themeFillTint="34"/>
      </w:tcPr>
    </w:tblStylePr>
    <w:tblStylePr w:type="band2Horz">
      <w:rPr>
        <w:rFonts w:ascii="Arial" w:hAnsi="Arial"/>
        <w:color w:val="177b7c" w:themeColor="accent3" w:themeTint="FE" w:themeShade="95"/>
        <w:sz w:val="22"/>
      </w:rPr>
    </w:tblStylePr>
    <w:tblStylePr w:type="firstCol">
      <w:rPr>
        <w:rFonts w:ascii="Arial" w:hAnsi="Arial"/>
        <w:i/>
        <w:color w:val="177b7c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77b7c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77b7c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77b7c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36977b" w:themeColor="accent4" w:themeTint="9A" w:themeShade="95"/>
        <w:sz w:val="22"/>
      </w:rPr>
      <w:tcPr>
        <w:shd w:val="clear" w:color="ffffff" w:themeColor="accent4" w:themeTint="34" w:fill="d8f1ea" w:themeFill="accent4" w:themeFillTint="34"/>
      </w:tcPr>
    </w:tblStylePr>
    <w:tblStylePr w:type="band1Vert">
      <w:tcPr>
        <w:shd w:val="clear" w:color="ffffff" w:themeColor="accent4" w:themeTint="34" w:fill="d8f1ea" w:themeFill="accent4" w:themeFillTint="34"/>
      </w:tcPr>
    </w:tblStylePr>
    <w:tblStylePr w:type="band2Horz">
      <w:rPr>
        <w:rFonts w:ascii="Arial" w:hAnsi="Arial"/>
        <w:color w:val="36977b" w:themeColor="accent4" w:themeTint="9A" w:themeShade="95"/>
        <w:sz w:val="22"/>
      </w:rPr>
    </w:tblStylePr>
    <w:tblStylePr w:type="firstCol">
      <w:rPr>
        <w:rFonts w:ascii="Arial" w:hAnsi="Arial"/>
        <w:i/>
        <w:color w:val="36977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36977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977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977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4f30" w:themeColor="accent5" w:themeShade="95"/>
        <w:sz w:val="22"/>
      </w:rPr>
      <w:tcPr>
        <w:shd w:val="clear" w:color="ffffff" w:themeColor="accent5" w:themeTint="34" w:fill="d3ead9" w:themeFill="accent5" w:themeFillTint="34"/>
      </w:tcPr>
    </w:tblStylePr>
    <w:tblStylePr w:type="band1Vert">
      <w:tcPr>
        <w:shd w:val="clear" w:color="ffffff" w:themeColor="accent5" w:themeTint="34" w:fill="d3ea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  <w:tblStylePr w:type="firstCol">
      <w:rPr>
        <w:rFonts w:ascii="Arial" w:hAnsi="Arial"/>
        <w:i/>
        <w:color w:val="244f3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4f3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f3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f3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385f5c" w:themeColor="accent6" w:themeShade="95"/>
        <w:sz w:val="22"/>
      </w:rPr>
      <w:tcPr>
        <w:shd w:val="clear" w:color="ffffff" w:themeColor="accent6" w:themeTint="34" w:fill="dfeceb" w:themeFill="accent6" w:themeFillTint="34"/>
      </w:tcPr>
    </w:tblStylePr>
    <w:tblStylePr w:type="band1Vert">
      <w:tcPr>
        <w:shd w:val="clear" w:color="ffffff" w:themeColor="accent6" w:themeTint="34" w:fill="dfeceb" w:themeFill="accent6" w:themeFillTint="34"/>
      </w:tcPr>
    </w:tblStylePr>
    <w:tblStylePr w:type="band2Horz">
      <w:rPr>
        <w:rFonts w:ascii="Arial" w:hAnsi="Arial"/>
        <w:color w:val="385f5c" w:themeColor="accent6" w:themeShade="95"/>
        <w:sz w:val="22"/>
      </w:rPr>
    </w:tblStylePr>
    <w:tblStylePr w:type="firstCol">
      <w:rPr>
        <w:rFonts w:ascii="Arial" w:hAnsi="Arial"/>
        <w:i/>
        <w:color w:val="385f5c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385f5c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85f5c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85f5c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5eaf8" w:themeFill="accent1" w:themeFillTint="40"/>
      </w:tcPr>
    </w:tblStylePr>
    <w:tblStylePr w:type="band1Vert">
      <w:tcPr>
        <w:shd w:val="clear" w:color="ffffff" w:themeColor="accent1" w:themeTint="40" w:fill="c5eaf8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c6e1f3" w:themeFill="accent2" w:themeFillTint="40"/>
      </w:tcPr>
    </w:tblStylePr>
    <w:tblStylePr w:type="band1Vert">
      <w:tcPr>
        <w:shd w:val="clear" w:color="ffffff" w:themeColor="accent2" w:themeTint="40" w:fill="c6e1f3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c8f3f5" w:themeFill="accent3" w:themeFillTint="40"/>
      </w:tcPr>
    </w:tblStylePr>
    <w:tblStylePr w:type="band1Vert">
      <w:tcPr>
        <w:shd w:val="clear" w:color="ffffff" w:themeColor="accent3" w:themeTint="40" w:fill="c8f3f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cfeee5" w:themeFill="accent4" w:themeFillTint="40"/>
      </w:tcPr>
    </w:tblStylePr>
    <w:tblStylePr w:type="band1Vert">
      <w:tcPr>
        <w:shd w:val="clear" w:color="ffffff" w:themeColor="accent4" w:themeTint="40" w:fill="cfeee5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9e6d1" w:themeFill="accent5" w:themeFillTint="40"/>
      </w:tcPr>
    </w:tblStylePr>
    <w:tblStylePr w:type="band1Vert">
      <w:tcPr>
        <w:shd w:val="clear" w:color="ffffff" w:themeColor="accent5" w:themeTint="40" w:fill="c9e6d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7e8e6" w:themeFill="accent6" w:themeFillTint="40"/>
      </w:tcPr>
    </w:tblStylePr>
    <w:tblStylePr w:type="band1Vert">
      <w:tcPr>
        <w:shd w:val="clear" w:color="ffffff" w:themeColor="accent6" w:themeTint="40" w:fill="d7e8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5eaf8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5eaf8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c6e1f3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c6e1f3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c8f3f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c8f3f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cfeee5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cfeee5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9e6d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9e6d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7e8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7e8e6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cade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77b7e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7ee3e7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8bd6c0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7dc491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0c7c4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5eaf8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5eaf8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cade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c6e1f3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c6e1f3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2683c6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c8f3f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c8f3f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27ced7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cfeee5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cfeee5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42ba97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9e6d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9e6d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3e885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7e8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7e8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62a39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cade4" w:themeFill="accent1"/>
    </w:tblPr>
    <w:tblStylePr w:type="band1Horz">
      <w:tcPr>
        <w:shd w:val="clear" w:color="ffffff" w:themeColor="accent1" w:fill="1cade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cade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cade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cade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7b7e4" w:themeFill="accent2" w:themeFillTint="97"/>
    </w:tblPr>
    <w:tblStylePr w:type="band1Horz">
      <w:tcPr>
        <w:shd w:val="clear" w:color="ffffff" w:themeColor="accent2" w:themeTint="97" w:fill="77b7e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77b7e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77b7e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77b7e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7ee3e7" w:themeFill="accent3" w:themeFillTint="98"/>
    </w:tblPr>
    <w:tblStylePr w:type="band1Horz">
      <w:tcPr>
        <w:shd w:val="clear" w:color="ffffff" w:themeColor="accent3" w:themeTint="98" w:fill="7ee3e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7ee3e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7ee3e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7ee3e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8bd6c0" w:themeFill="accent4" w:themeFillTint="9A"/>
    </w:tblPr>
    <w:tblStylePr w:type="band1Horz">
      <w:tcPr>
        <w:shd w:val="clear" w:color="ffffff" w:themeColor="accent4" w:themeTint="9A" w:fill="8bd6c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8bd6c0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8bd6c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8bd6c0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dc491" w:themeFill="accent5" w:themeFillTint="9A"/>
    </w:tblPr>
    <w:tblStylePr w:type="band1Horz">
      <w:tcPr>
        <w:shd w:val="clear" w:color="ffffff" w:themeColor="accent5" w:themeTint="9A" w:fill="7dc491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7dc491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7dc491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7dc491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0c7c4" w:themeFill="accent6" w:themeFillTint="98"/>
    </w:tblPr>
    <w:tblStylePr w:type="band1Horz">
      <w:tcPr>
        <w:shd w:val="clear" w:color="ffffff" w:themeColor="accent6" w:themeTint="98" w:fill="a0c7c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0c7c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0c7c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0c7c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5eaf8" w:themeFill="accent1" w:themeFillTint="40"/>
      </w:tcPr>
    </w:tblStylePr>
    <w:tblStylePr w:type="band1Vert">
      <w:tcPr>
        <w:shd w:val="clear" w:color="ffffff" w:themeColor="accent1" w:themeTint="40" w:fill="c5eaf8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106585" w:themeColor="accent1" w:themeShade="95"/>
      </w:rPr>
    </w:tblStylePr>
    <w:tblStylePr w:type="firstRow">
      <w:rPr>
        <w:b/>
        <w:color w:val="106585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106585" w:themeColor="accent1" w:themeShade="95"/>
      </w:rPr>
    </w:tblStylePr>
    <w:tblStylePr w:type="lastRow">
      <w:rPr>
        <w:b/>
        <w:color w:val="106585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c6e1f3" w:themeFill="accent2" w:themeFillTint="40"/>
      </w:tcPr>
    </w:tblStylePr>
    <w:tblStylePr w:type="band1Vert">
      <w:tcPr>
        <w:shd w:val="clear" w:color="ffffff" w:themeColor="accent2" w:themeTint="40" w:fill="c6e1f3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2170a8" w:themeColor="accent2" w:themeTint="97" w:themeShade="95"/>
      </w:rPr>
    </w:tblStylePr>
    <w:tblStylePr w:type="firstRow">
      <w:rPr>
        <w:b/>
        <w:color w:val="2170a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2170a8" w:themeColor="accent2" w:themeTint="97" w:themeShade="95"/>
      </w:rPr>
    </w:tblStylePr>
    <w:tblStylePr w:type="lastRow">
      <w:rPr>
        <w:b/>
        <w:color w:val="2170a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c8f3f5" w:themeFill="accent3" w:themeFillTint="40"/>
      </w:tcPr>
    </w:tblStylePr>
    <w:tblStylePr w:type="band1Vert">
      <w:tcPr>
        <w:shd w:val="clear" w:color="ffffff" w:themeColor="accent3" w:themeTint="40" w:fill="c8f3f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21a9ae" w:themeColor="accent3" w:themeTint="98" w:themeShade="95"/>
      </w:rPr>
    </w:tblStylePr>
    <w:tblStylePr w:type="firstRow">
      <w:rPr>
        <w:b/>
        <w:color w:val="21a9ae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1a9ae" w:themeColor="accent3" w:themeTint="98" w:themeShade="95"/>
      </w:rPr>
    </w:tblStylePr>
    <w:tblStylePr w:type="lastRow">
      <w:rPr>
        <w:b/>
        <w:color w:val="21a9ae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cfeee5" w:themeFill="accent4" w:themeFillTint="40"/>
      </w:tcPr>
    </w:tblStylePr>
    <w:tblStylePr w:type="band1Vert">
      <w:tcPr>
        <w:shd w:val="clear" w:color="ffffff" w:themeColor="accent4" w:themeTint="40" w:fill="cfeee5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36977b" w:themeColor="accent4" w:themeTint="9A" w:themeShade="95"/>
      </w:rPr>
    </w:tblStylePr>
    <w:tblStylePr w:type="firstRow">
      <w:rPr>
        <w:b/>
        <w:color w:val="36977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36977b" w:themeColor="accent4" w:themeTint="9A" w:themeShade="95"/>
      </w:rPr>
    </w:tblStylePr>
    <w:tblStylePr w:type="lastRow">
      <w:rPr>
        <w:b/>
        <w:color w:val="36977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9e6d1" w:themeFill="accent5" w:themeFillTint="40"/>
      </w:tcPr>
    </w:tblStylePr>
    <w:tblStylePr w:type="band1Vert">
      <w:tcPr>
        <w:shd w:val="clear" w:color="ffffff" w:themeColor="accent5" w:themeTint="40" w:fill="c9e6d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a7f4c" w:themeColor="accent5" w:themeTint="9A" w:themeShade="95"/>
      </w:rPr>
    </w:tblStylePr>
    <w:tblStylePr w:type="firstRow">
      <w:rPr>
        <w:b/>
        <w:color w:val="3a7f4c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a7f4c" w:themeColor="accent5" w:themeTint="9A" w:themeShade="95"/>
      </w:rPr>
    </w:tblStylePr>
    <w:tblStylePr w:type="lastRow">
      <w:rPr>
        <w:b/>
        <w:color w:val="3a7f4c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7e8e6" w:themeFill="accent6" w:themeFillTint="40"/>
      </w:tcPr>
    </w:tblStylePr>
    <w:tblStylePr w:type="band1Vert">
      <w:tcPr>
        <w:shd w:val="clear" w:color="ffffff" w:themeColor="accent6" w:themeTint="40" w:fill="d7e8e6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e837f" w:themeColor="accent6" w:themeTint="98" w:themeShade="95"/>
      </w:rPr>
    </w:tblStylePr>
    <w:tblStylePr w:type="firstRow">
      <w:rPr>
        <w:b/>
        <w:color w:val="4e837f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e837f" w:themeColor="accent6" w:themeTint="98" w:themeShade="95"/>
      </w:rPr>
    </w:tblStylePr>
    <w:tblStylePr w:type="lastRow">
      <w:rPr>
        <w:b/>
        <w:color w:val="4e837f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106585" w:themeColor="accent1" w:themeShade="95"/>
        <w:sz w:val="22"/>
      </w:rPr>
      <w:tcPr>
        <w:shd w:val="clear" w:color="ffffff" w:themeColor="accent1" w:themeTint="40" w:fill="c5eaf8" w:themeFill="accent1" w:themeFillTint="40"/>
      </w:tcPr>
    </w:tblStylePr>
    <w:tblStylePr w:type="band1Vert">
      <w:tcPr>
        <w:shd w:val="clear" w:color="ffffff" w:themeColor="accent1" w:themeTint="40" w:fill="c5eaf8" w:themeFill="accent1" w:themeFillTint="40"/>
      </w:tcPr>
    </w:tblStylePr>
    <w:tblStylePr w:type="band2Horz">
      <w:rPr>
        <w:rFonts w:ascii="Arial" w:hAnsi="Arial"/>
        <w:color w:val="106585" w:themeColor="accent1" w:themeShade="95"/>
        <w:sz w:val="22"/>
      </w:rPr>
    </w:tblStylePr>
    <w:tblStylePr w:type="firstCol">
      <w:rPr>
        <w:rFonts w:ascii="Arial" w:hAnsi="Arial"/>
        <w:i/>
        <w:color w:val="106585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10658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6585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06585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06585" w:themeColor="accent1" w:themeShade="95"/>
        <w:sz w:val="22"/>
      </w:rPr>
    </w:tblStylePr>
  </w:style>
  <w:style w:type="table" w:styleId="779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2170a8" w:themeColor="accent2" w:themeTint="97" w:themeShade="95"/>
        <w:sz w:val="22"/>
      </w:rPr>
      <w:tcPr>
        <w:shd w:val="clear" w:color="ffffff" w:themeColor="accent2" w:themeTint="40" w:fill="c6e1f3" w:themeFill="accent2" w:themeFillTint="40"/>
      </w:tcPr>
    </w:tblStylePr>
    <w:tblStylePr w:type="band1Vert">
      <w:tcPr>
        <w:shd w:val="clear" w:color="ffffff" w:themeColor="accent2" w:themeTint="40" w:fill="c6e1f3" w:themeFill="accent2" w:themeFillTint="40"/>
      </w:tcPr>
    </w:tblStylePr>
    <w:tblStylePr w:type="band2Horz">
      <w:rPr>
        <w:rFonts w:ascii="Arial" w:hAnsi="Arial"/>
        <w:color w:val="2170a8" w:themeColor="accent2" w:themeTint="97" w:themeShade="95"/>
        <w:sz w:val="22"/>
      </w:rPr>
    </w:tblStylePr>
    <w:tblStylePr w:type="firstCol">
      <w:rPr>
        <w:rFonts w:ascii="Arial" w:hAnsi="Arial"/>
        <w:i/>
        <w:color w:val="2170a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2170a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170a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170a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170a8" w:themeColor="accent2" w:themeTint="97" w:themeShade="95"/>
        <w:sz w:val="22"/>
      </w:rPr>
    </w:tblStylePr>
  </w:style>
  <w:style w:type="table" w:styleId="780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21a9ae" w:themeColor="accent3" w:themeTint="98" w:themeShade="95"/>
        <w:sz w:val="22"/>
      </w:rPr>
      <w:tcPr>
        <w:shd w:val="clear" w:color="ffffff" w:themeColor="accent3" w:themeTint="40" w:fill="c8f3f5" w:themeFill="accent3" w:themeFillTint="40"/>
      </w:tcPr>
    </w:tblStylePr>
    <w:tblStylePr w:type="band1Vert">
      <w:tcPr>
        <w:shd w:val="clear" w:color="ffffff" w:themeColor="accent3" w:themeTint="40" w:fill="c8f3f5" w:themeFill="accent3" w:themeFillTint="40"/>
      </w:tcPr>
    </w:tblStylePr>
    <w:tblStylePr w:type="band2Horz">
      <w:rPr>
        <w:rFonts w:ascii="Arial" w:hAnsi="Arial"/>
        <w:color w:val="21a9ae" w:themeColor="accent3" w:themeTint="98" w:themeShade="95"/>
        <w:sz w:val="22"/>
      </w:rPr>
    </w:tblStylePr>
    <w:tblStylePr w:type="firstCol">
      <w:rPr>
        <w:rFonts w:ascii="Arial" w:hAnsi="Arial"/>
        <w:i/>
        <w:color w:val="21a9ae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1a9ae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1a9ae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1a9ae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1a9ae" w:themeColor="accent3" w:themeTint="98" w:themeShade="95"/>
        <w:sz w:val="22"/>
      </w:rPr>
    </w:tblStylePr>
  </w:style>
  <w:style w:type="table" w:styleId="781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36977b" w:themeColor="accent4" w:themeTint="9A" w:themeShade="95"/>
        <w:sz w:val="22"/>
      </w:rPr>
      <w:tcPr>
        <w:shd w:val="clear" w:color="ffffff" w:themeColor="accent4" w:themeTint="40" w:fill="cfeee5" w:themeFill="accent4" w:themeFillTint="40"/>
      </w:tcPr>
    </w:tblStylePr>
    <w:tblStylePr w:type="band1Vert">
      <w:tcPr>
        <w:shd w:val="clear" w:color="ffffff" w:themeColor="accent4" w:themeTint="40" w:fill="cfeee5" w:themeFill="accent4" w:themeFillTint="40"/>
      </w:tcPr>
    </w:tblStylePr>
    <w:tblStylePr w:type="band2Horz">
      <w:rPr>
        <w:rFonts w:ascii="Arial" w:hAnsi="Arial"/>
        <w:color w:val="36977b" w:themeColor="accent4" w:themeTint="9A" w:themeShade="95"/>
        <w:sz w:val="22"/>
      </w:rPr>
    </w:tblStylePr>
    <w:tblStylePr w:type="firstCol">
      <w:rPr>
        <w:rFonts w:ascii="Arial" w:hAnsi="Arial"/>
        <w:i/>
        <w:color w:val="36977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36977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977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6977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6977b" w:themeColor="accent4" w:themeTint="9A" w:themeShade="95"/>
        <w:sz w:val="22"/>
      </w:rPr>
    </w:tblStylePr>
  </w:style>
  <w:style w:type="table" w:styleId="782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a7f4c" w:themeColor="accent5" w:themeTint="9A" w:themeShade="95"/>
        <w:sz w:val="22"/>
      </w:rPr>
      <w:tcPr>
        <w:shd w:val="clear" w:color="ffffff" w:themeColor="accent5" w:themeTint="40" w:fill="c9e6d1" w:themeFill="accent5" w:themeFillTint="40"/>
      </w:tcPr>
    </w:tblStylePr>
    <w:tblStylePr w:type="band1Vert">
      <w:tcPr>
        <w:shd w:val="clear" w:color="ffffff" w:themeColor="accent5" w:themeTint="40" w:fill="c9e6d1" w:themeFill="accent5" w:themeFillTint="40"/>
      </w:tcPr>
    </w:tblStylePr>
    <w:tblStylePr w:type="band2Horz">
      <w:rPr>
        <w:rFonts w:ascii="Arial" w:hAnsi="Arial"/>
        <w:color w:val="3a7f4c" w:themeColor="accent5" w:themeTint="9A" w:themeShade="95"/>
        <w:sz w:val="22"/>
      </w:rPr>
    </w:tblStylePr>
    <w:tblStylePr w:type="firstCol">
      <w:rPr>
        <w:rFonts w:ascii="Arial" w:hAnsi="Arial"/>
        <w:i/>
        <w:color w:val="3a7f4c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a7f4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a7f4c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a7f4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a7f4c" w:themeColor="accent5" w:themeTint="9A" w:themeShade="95"/>
        <w:sz w:val="22"/>
      </w:rPr>
    </w:tblStylePr>
  </w:style>
  <w:style w:type="table" w:styleId="783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e837f" w:themeColor="accent6" w:themeTint="98" w:themeShade="95"/>
        <w:sz w:val="22"/>
      </w:rPr>
      <w:tcPr>
        <w:shd w:val="clear" w:color="ffffff" w:themeColor="accent6" w:themeTint="40" w:fill="d7e8e6" w:themeFill="accent6" w:themeFillTint="40"/>
      </w:tcPr>
    </w:tblStylePr>
    <w:tblStylePr w:type="band1Vert">
      <w:tcPr>
        <w:shd w:val="clear" w:color="ffffff" w:themeColor="accent6" w:themeTint="40" w:fill="d7e8e6" w:themeFill="accent6" w:themeFillTint="40"/>
      </w:tcPr>
    </w:tblStylePr>
    <w:tblStylePr w:type="band2Horz">
      <w:rPr>
        <w:rFonts w:ascii="Arial" w:hAnsi="Arial"/>
        <w:color w:val="4e837f" w:themeColor="accent6" w:themeTint="98" w:themeShade="95"/>
        <w:sz w:val="22"/>
      </w:rPr>
    </w:tblStylePr>
    <w:tblStylePr w:type="firstCol">
      <w:rPr>
        <w:rFonts w:ascii="Arial" w:hAnsi="Arial"/>
        <w:i/>
        <w:color w:val="4e837f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e837f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e837f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e837f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e837f" w:themeColor="accent6" w:themeTint="98" w:themeShade="95"/>
        <w:sz w:val="22"/>
      </w:rPr>
    </w:tblStylePr>
  </w:style>
  <w:style w:type="table" w:styleId="784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b7e5f6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b7e5f6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</w:style>
  <w:style w:type="table" w:styleId="786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</w:style>
  <w:style w:type="table" w:styleId="787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</w:style>
  <w:style w:type="table" w:styleId="788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</w:style>
  <w:style w:type="table" w:styleId="789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</w:style>
  <w:style w:type="table" w:styleId="790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</w:style>
  <w:style w:type="table" w:styleId="791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b7e5f6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b7e5f6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2eb4e5" w:themeFill="accent1" w:themeFillTint="EA"/>
      </w:tcPr>
    </w:tblStylePr>
  </w:style>
  <w:style w:type="table" w:styleId="793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d1e7f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77b7e4" w:themeFill="accent2" w:themeFillTint="97"/>
      </w:tcPr>
    </w:tblStylePr>
  </w:style>
  <w:style w:type="table" w:styleId="794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d3f5f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28d1d7" w:themeFill="accent3" w:themeFillTint="FE"/>
      </w:tcPr>
    </w:tblStylePr>
  </w:style>
  <w:style w:type="table" w:styleId="795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8f1e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8bd6c0" w:themeFill="accent4" w:themeFillTint="9A"/>
      </w:tcPr>
    </w:tblStylePr>
  </w:style>
  <w:style w:type="table" w:styleId="796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3ead9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3e8853" w:themeFill="accent5"/>
      </w:tcPr>
    </w:tblStylePr>
  </w:style>
  <w:style w:type="table" w:styleId="797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fece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62a39f" w:themeFill="accent6"/>
      </w:tcPr>
    </w:tblStylePr>
  </w:style>
  <w:style w:type="table" w:styleId="798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000ff" w:themeColor="hyperlink"/>
      <w:u w:val="single"/>
    </w:rPr>
  </w:style>
  <w:style w:type="paragraph" w:styleId="806">
    <w:name w:val="footnote text"/>
    <w:basedOn w:val="822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32"/>
    <w:uiPriority w:val="99"/>
    <w:unhideWhenUsed/>
    <w:rPr>
      <w:vertAlign w:val="superscript"/>
    </w:rPr>
  </w:style>
  <w:style w:type="paragraph" w:styleId="809">
    <w:name w:val="endnote text"/>
    <w:basedOn w:val="822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32"/>
    <w:uiPriority w:val="99"/>
    <w:semiHidden/>
    <w:unhideWhenUsed/>
    <w:rPr>
      <w:vertAlign w:val="superscript"/>
    </w:rPr>
  </w:style>
  <w:style w:type="paragraph" w:styleId="812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paragraph" w:styleId="823">
    <w:name w:val="Heading 1"/>
    <w:basedOn w:val="822"/>
    <w:next w:val="822"/>
    <w:link w:val="835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824">
    <w:name w:val="Heading 2"/>
    <w:basedOn w:val="822"/>
    <w:next w:val="822"/>
    <w:link w:val="836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paragraph" w:styleId="825">
    <w:name w:val="Heading 3"/>
    <w:basedOn w:val="822"/>
    <w:next w:val="822"/>
    <w:link w:val="837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paragraph" w:styleId="826">
    <w:name w:val="Heading 4"/>
    <w:basedOn w:val="822"/>
    <w:next w:val="822"/>
    <w:link w:val="838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27">
    <w:name w:val="Heading 5"/>
    <w:basedOn w:val="822"/>
    <w:next w:val="822"/>
    <w:link w:val="839"/>
    <w:uiPriority w:val="9"/>
    <w:semiHidden/>
    <w:unhideWhenUsed/>
    <w:qFormat/>
    <w:p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828">
    <w:name w:val="Heading 6"/>
    <w:basedOn w:val="822"/>
    <w:next w:val="822"/>
    <w:link w:val="840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829">
    <w:name w:val="Heading 7"/>
    <w:basedOn w:val="822"/>
    <w:next w:val="822"/>
    <w:link w:val="841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830">
    <w:name w:val="Heading 8"/>
    <w:basedOn w:val="822"/>
    <w:next w:val="822"/>
    <w:link w:val="842"/>
    <w:uiPriority w:val="9"/>
    <w:semiHidden/>
    <w:unhideWhenUsed/>
    <w:qFormat/>
    <w:p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831">
    <w:name w:val="Heading 9"/>
    <w:basedOn w:val="822"/>
    <w:next w:val="822"/>
    <w:link w:val="843"/>
    <w:uiPriority w:val="9"/>
    <w:semiHidden/>
    <w:unhideWhenUsed/>
    <w:qFormat/>
    <w:p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23"/>
    <w:uiPriority w:val="9"/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character" w:styleId="836" w:customStyle="1">
    <w:name w:val="Заголовок 2 Знак"/>
    <w:basedOn w:val="832"/>
    <w:link w:val="824"/>
    <w:uiPriority w:val="9"/>
    <w:semiHidden/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character" w:styleId="837" w:customStyle="1">
    <w:name w:val="Заголовок 3 Знак"/>
    <w:basedOn w:val="832"/>
    <w:link w:val="825"/>
    <w:uiPriority w:val="9"/>
    <w:semiHidden/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character" w:styleId="838" w:customStyle="1">
    <w:name w:val="Заголовок 4 Знак"/>
    <w:basedOn w:val="832"/>
    <w:link w:val="82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39" w:customStyle="1">
    <w:name w:val="Заголовок 5 Знак"/>
    <w:basedOn w:val="832"/>
    <w:link w:val="827"/>
    <w:uiPriority w:val="9"/>
    <w:semiHidden/>
    <w:rPr>
      <w:rFonts w:asciiTheme="majorHAnsi" w:hAnsiTheme="majorHAnsi" w:eastAsiaTheme="majorEastAsia" w:cstheme="majorBidi"/>
      <w:color w:val="404040" w:themeColor="text1" w:themeTint="BF"/>
    </w:rPr>
  </w:style>
  <w:style w:type="character" w:styleId="840" w:customStyle="1">
    <w:name w:val="Заголовок 6 Знак"/>
    <w:basedOn w:val="832"/>
    <w:link w:val="828"/>
    <w:uiPriority w:val="9"/>
    <w:semiHidden/>
    <w:rPr>
      <w:rFonts w:asciiTheme="majorHAnsi" w:hAnsiTheme="majorHAnsi" w:eastAsiaTheme="majorEastAsia" w:cstheme="majorBidi"/>
    </w:rPr>
  </w:style>
  <w:style w:type="character" w:styleId="841" w:customStyle="1">
    <w:name w:val="Заголовок 7 Знак"/>
    <w:basedOn w:val="832"/>
    <w:link w:val="829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842" w:customStyle="1">
    <w:name w:val="Заголовок 8 Знак"/>
    <w:basedOn w:val="832"/>
    <w:link w:val="830"/>
    <w:uiPriority w:val="9"/>
    <w:semiHidden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843" w:customStyle="1">
    <w:name w:val="Заголовок 9 Знак"/>
    <w:basedOn w:val="832"/>
    <w:link w:val="831"/>
    <w:uiPriority w:val="9"/>
    <w:semiHidden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844">
    <w:name w:val="Caption"/>
    <w:basedOn w:val="822"/>
    <w:next w:val="822"/>
    <w:uiPriority w:val="35"/>
    <w:semiHidden/>
    <w:unhideWhenUsed/>
    <w:qFormat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845">
    <w:name w:val="Title"/>
    <w:basedOn w:val="822"/>
    <w:next w:val="822"/>
    <w:link w:val="846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6" w:customStyle="1">
    <w:name w:val="Заголовок Знак"/>
    <w:basedOn w:val="832"/>
    <w:link w:val="8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7">
    <w:name w:val="Subtitle"/>
    <w:basedOn w:val="822"/>
    <w:next w:val="822"/>
    <w:link w:val="848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848" w:customStyle="1">
    <w:name w:val="Подзаголовок Знак"/>
    <w:basedOn w:val="832"/>
    <w:link w:val="847"/>
    <w:uiPriority w:val="11"/>
    <w:rPr>
      <w:color w:val="5a5a5a" w:themeColor="text1" w:themeTint="A5"/>
      <w:spacing w:val="15"/>
    </w:rPr>
  </w:style>
  <w:style w:type="character" w:styleId="849">
    <w:name w:val="Strong"/>
    <w:basedOn w:val="832"/>
    <w:uiPriority w:val="22"/>
    <w:qFormat/>
    <w:rPr>
      <w:b/>
      <w:bCs/>
      <w:color w:val="auto"/>
    </w:rPr>
  </w:style>
  <w:style w:type="character" w:styleId="850">
    <w:name w:val="Emphasis"/>
    <w:basedOn w:val="832"/>
    <w:uiPriority w:val="20"/>
    <w:qFormat/>
    <w:rPr>
      <w:i/>
      <w:iCs/>
      <w:color w:val="auto"/>
    </w:rPr>
  </w:style>
  <w:style w:type="paragraph" w:styleId="851">
    <w:name w:val="No Spacing"/>
    <w:uiPriority w:val="1"/>
    <w:qFormat/>
    <w:pPr>
      <w:spacing w:after="0" w:line="240" w:lineRule="auto"/>
    </w:pPr>
  </w:style>
  <w:style w:type="paragraph" w:styleId="852">
    <w:name w:val="Quote"/>
    <w:basedOn w:val="822"/>
    <w:next w:val="822"/>
    <w:link w:val="853"/>
    <w:uiPriority w:val="29"/>
    <w:qFormat/>
    <w:pPr>
      <w:ind w:left="864" w:right="864"/>
      <w:spacing w:before="200"/>
    </w:pPr>
    <w:rPr>
      <w:i/>
      <w:iCs/>
      <w:color w:val="404040" w:themeColor="text1" w:themeTint="BF"/>
    </w:rPr>
  </w:style>
  <w:style w:type="character" w:styleId="853" w:customStyle="1">
    <w:name w:val="Цитата 2 Знак"/>
    <w:basedOn w:val="832"/>
    <w:link w:val="852"/>
    <w:uiPriority w:val="29"/>
    <w:rPr>
      <w:i/>
      <w:iCs/>
      <w:color w:val="404040" w:themeColor="text1" w:themeTint="BF"/>
    </w:rPr>
  </w:style>
  <w:style w:type="paragraph" w:styleId="854">
    <w:name w:val="Intense Quote"/>
    <w:basedOn w:val="822"/>
    <w:next w:val="822"/>
    <w:link w:val="855"/>
    <w:uiPriority w:val="30"/>
    <w:qFormat/>
    <w:pPr>
      <w:ind w:left="864" w:right="864"/>
      <w:jc w:val="center"/>
      <w:spacing w:before="360" w:after="360"/>
      <w:pBdr>
        <w:top w:val="single" w:color="404040" w:themeColor="text1" w:themeTint="BF" w:sz="4" w:space="10"/>
        <w:bottom w:val="single" w:color="404040" w:themeColor="text1" w:themeTint="BF" w:sz="4" w:space="10"/>
      </w:pBdr>
    </w:pPr>
    <w:rPr>
      <w:i/>
      <w:iCs/>
      <w:color w:val="404040" w:themeColor="text1" w:themeTint="BF"/>
    </w:rPr>
  </w:style>
  <w:style w:type="character" w:styleId="855" w:customStyle="1">
    <w:name w:val="Выделенная цитата Знак"/>
    <w:basedOn w:val="832"/>
    <w:link w:val="854"/>
    <w:uiPriority w:val="30"/>
    <w:rPr>
      <w:i/>
      <w:iCs/>
      <w:color w:val="404040" w:themeColor="text1" w:themeTint="BF"/>
    </w:rPr>
  </w:style>
  <w:style w:type="character" w:styleId="856">
    <w:name w:val="Subtle Emphasis"/>
    <w:basedOn w:val="832"/>
    <w:uiPriority w:val="19"/>
    <w:qFormat/>
    <w:rPr>
      <w:i/>
      <w:iCs/>
      <w:color w:val="404040" w:themeColor="text1" w:themeTint="BF"/>
    </w:rPr>
  </w:style>
  <w:style w:type="character" w:styleId="857">
    <w:name w:val="Intense Emphasis"/>
    <w:basedOn w:val="832"/>
    <w:uiPriority w:val="21"/>
    <w:qFormat/>
    <w:rPr>
      <w:b/>
      <w:bCs/>
      <w:i/>
      <w:iCs/>
      <w:color w:val="auto"/>
    </w:rPr>
  </w:style>
  <w:style w:type="character" w:styleId="858">
    <w:name w:val="Subtle Reference"/>
    <w:basedOn w:val="832"/>
    <w:uiPriority w:val="31"/>
    <w:qFormat/>
    <w:rPr>
      <w:smallCaps/>
      <w:color w:val="404040" w:themeColor="text1" w:themeTint="BF"/>
    </w:rPr>
  </w:style>
  <w:style w:type="character" w:styleId="859">
    <w:name w:val="Intense Reference"/>
    <w:basedOn w:val="832"/>
    <w:uiPriority w:val="32"/>
    <w:qFormat/>
    <w:rPr>
      <w:b/>
      <w:bCs/>
      <w:smallCaps/>
      <w:color w:val="404040" w:themeColor="text1" w:themeTint="BF"/>
      <w:spacing w:val="5"/>
    </w:rPr>
  </w:style>
  <w:style w:type="character" w:styleId="860">
    <w:name w:val="Book Title"/>
    <w:basedOn w:val="832"/>
    <w:uiPriority w:val="33"/>
    <w:qFormat/>
    <w:rPr>
      <w:b/>
      <w:bCs/>
      <w:i/>
      <w:iCs/>
      <w:spacing w:val="5"/>
    </w:rPr>
  </w:style>
  <w:style w:type="paragraph" w:styleId="861">
    <w:name w:val="TOC Heading"/>
    <w:basedOn w:val="823"/>
    <w:next w:val="822"/>
    <w:uiPriority w:val="39"/>
    <w:semiHidden/>
    <w:unhideWhenUsed/>
    <w:qFormat/>
    <w:pPr>
      <w:outlineLvl w:val="9"/>
    </w:pPr>
  </w:style>
  <w:style w:type="paragraph" w:styleId="862">
    <w:name w:val="List Paragraph"/>
    <w:basedOn w:val="822"/>
    <w:uiPriority w:val="34"/>
    <w:qFormat/>
    <w:pPr>
      <w:contextualSpacing/>
      <w:ind w:left="720"/>
    </w:pPr>
  </w:style>
  <w:style w:type="table" w:styleId="863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>
    <w:name w:val="Grid Table Light"/>
    <w:basedOn w:val="833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865">
    <w:name w:val="Header"/>
    <w:basedOn w:val="822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32"/>
    <w:link w:val="865"/>
    <w:uiPriority w:val="99"/>
  </w:style>
  <w:style w:type="paragraph" w:styleId="867">
    <w:name w:val="Footer"/>
    <w:basedOn w:val="822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32"/>
    <w:link w:val="867"/>
    <w:uiPriority w:val="99"/>
  </w:style>
  <w:style w:type="paragraph" w:styleId="869">
    <w:name w:val="Balloon Text"/>
    <w:basedOn w:val="822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832"/>
    <w:link w:val="869"/>
    <w:uiPriority w:val="99"/>
    <w:semiHidden/>
    <w:rPr>
      <w:rFonts w:ascii="Segoe UI" w:hAnsi="Segoe UI" w:cs="Segoe UI"/>
      <w:sz w:val="18"/>
      <w:szCs w:val="18"/>
    </w:rPr>
  </w:style>
  <w:style w:type="table" w:styleId="871" w:customStyle="1">
    <w:name w:val="Сетка таблицы1"/>
    <w:basedOn w:val="833"/>
    <w:next w:val="86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Relationship Id="rId13" Type="http://schemas.openxmlformats.org/officeDocument/2006/relationships/chart" Target="charts/chart4.xml" /><Relationship Id="rId14" Type="http://schemas.openxmlformats.org/officeDocument/2006/relationships/chart" Target="charts/chart5.xml" /><Relationship Id="rId15" Type="http://schemas.openxmlformats.org/officeDocument/2006/relationships/chart" Target="charts/chart6.xml" /><Relationship Id="rId16" Type="http://schemas.openxmlformats.org/officeDocument/2006/relationships/chart" Target="charts/chart7.xml" /><Relationship Id="rId17" Type="http://schemas.openxmlformats.org/officeDocument/2006/relationships/chart" Target="charts/chart8.xml" /><Relationship Id="rId18" Type="http://schemas.openxmlformats.org/officeDocument/2006/relationships/chart" Target="charts/chart9.xml" /><Relationship Id="rId19" Type="http://schemas.openxmlformats.org/officeDocument/2006/relationships/chart" Target="charts/chart10.xml" /><Relationship Id="rId20" Type="http://schemas.openxmlformats.org/officeDocument/2006/relationships/chart" Target="charts/chart11.xml" /><Relationship Id="rId21" Type="http://schemas.openxmlformats.org/officeDocument/2006/relationships/chart" Target="charts/chart1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.xlsx" /></Relationships>
</file>

<file path=word/charts/_rels/chart10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0.xlsx" /></Relationships>
</file>

<file path=word/charts/_rels/chart11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1.xlsx" /></Relationships>
</file>

<file path=word/charts/_rels/chart12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2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8.xlsx" /></Relationships>
</file>

<file path=word/charts/_rels/chart9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b="1"/>
              <a:t>Распределение причин сходов, допущенных на путях общего пользования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  <a:miter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 xml:space="preserve">'[Причины 08 2024-2024.xlsx]июнь'!$B$213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 xml:space="preserve">'[Причины 08 2024-2024.xlsx]июнь'!$A$214:$A$218</c:f>
              <c:strCache>
                <c:ptCount val="5"/>
                <c:pt idx="0">
                  <c:v xml:space="preserve">Нарушения в текущем содержании пути</c:v>
                </c:pt>
                <c:pt idx="1">
                  <c:v xml:space="preserve">Нарушения технологии маневровой работы</c:v>
                </c:pt>
                <c:pt idx="2">
                  <c:v xml:space="preserve">Нарушения правил ремонта подвижного состава</c:v>
                </c:pt>
                <c:pt idx="3">
                  <c:v xml:space="preserve">ДТП </c:v>
                </c:pt>
                <c:pt idx="4">
                  <c:v xml:space="preserve">Внешний фактор</c:v>
                </c:pt>
              </c:strCache>
            </c:strRef>
          </c:cat>
          <c:val>
            <c:numRef>
              <c:f xml:space="preserve">'[Причины 08 2024-2024.xlsx]июнь'!$B$214:$B$218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 xml:space="preserve">'[Причины 08 2024-2024.xlsx]июнь'!$C$213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 xml:space="preserve">'[Причины 08 2024-2024.xlsx]июнь'!$A$214:$A$218</c:f>
              <c:strCache>
                <c:ptCount val="5"/>
                <c:pt idx="0">
                  <c:v xml:space="preserve">Нарушения в текущем содержании пути</c:v>
                </c:pt>
                <c:pt idx="1">
                  <c:v xml:space="preserve">Нарушения технологии маневровой работы</c:v>
                </c:pt>
                <c:pt idx="2">
                  <c:v xml:space="preserve">Нарушения правил ремонта подвижного состава</c:v>
                </c:pt>
                <c:pt idx="3">
                  <c:v xml:space="preserve">ДТП </c:v>
                </c:pt>
                <c:pt idx="4">
                  <c:v xml:space="preserve">Внешний фактор</c:v>
                </c:pt>
              </c:strCache>
            </c:strRef>
          </c:cat>
          <c:val>
            <c:numRef>
              <c:f xml:space="preserve">'[Причины 08 2024-2024.xlsx]июнь'!$C$214:$C$218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5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1910350688"/>
        <c:axId val="1686307152"/>
        <c:axId val="2067285552"/>
      </c:bar3DChart>
      <c:catAx>
        <c:axId val="191035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686307152"/>
        <c:crosses val="autoZero"/>
        <c:auto val="1"/>
        <c:lblAlgn val="ctr"/>
        <c:lblOffset val="100"/>
        <c:noMultiLvlLbl val="0"/>
      </c:catAx>
      <c:valAx>
        <c:axId val="1686307152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10350688"/>
        <c:crosses val="autoZero"/>
        <c:crossBetween val="between"/>
      </c:valAx>
      <c:serAx>
        <c:axId val="2067285552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686307152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sz="1600" b="1"/>
              <a:t>Выдача свидетельств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Лист1!$B$224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Лист1!$A$225:$A$228</c:f>
              <c:strCache>
                <c:ptCount val="4"/>
                <c:pt idx="0">
                  <c:v xml:space="preserve">Обращения кандидатов</c:v>
                </c:pt>
                <c:pt idx="1">
                  <c:v xml:space="preserve">Проверка теоретических знаний (комиссии)</c:v>
                </c:pt>
                <c:pt idx="2">
                  <c:v xml:space="preserve">Выдано свидетельств</c:v>
                </c:pt>
                <c:pt idx="3">
                  <c:v xml:space="preserve">Общее число отказов</c:v>
                </c:pt>
              </c:strCache>
            </c:strRef>
          </c:cat>
          <c:val>
            <c:numRef>
              <c:f>Лист1!$B$225:$B$228</c:f>
              <c:numCache>
                <c:formatCode>General</c:formatCode>
                <c:ptCount val="4"/>
                <c:pt idx="0">
                  <c:v>857</c:v>
                </c:pt>
                <c:pt idx="1">
                  <c:v>57</c:v>
                </c:pt>
                <c:pt idx="2">
                  <c:v>534</c:v>
                </c:pt>
                <c:pt idx="3">
                  <c:v>663</c:v>
                </c:pt>
              </c:numCache>
            </c:numRef>
          </c:val>
        </c:ser>
        <c:ser>
          <c:idx val="1"/>
          <c:order val="1"/>
          <c:tx>
            <c:strRef>
              <c:f>Лист1!$C$224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Лист1!$A$225:$A$228</c:f>
              <c:strCache>
                <c:ptCount val="4"/>
                <c:pt idx="0">
                  <c:v xml:space="preserve">Обращения кандидатов</c:v>
                </c:pt>
                <c:pt idx="1">
                  <c:v xml:space="preserve">Проверка теоретических знаний (комиссии)</c:v>
                </c:pt>
                <c:pt idx="2">
                  <c:v xml:space="preserve">Выдано свидетельств</c:v>
                </c:pt>
                <c:pt idx="3">
                  <c:v xml:space="preserve">Общее число отказов</c:v>
                </c:pt>
              </c:strCache>
            </c:strRef>
          </c:cat>
          <c:val>
            <c:numRef>
              <c:f>Лист1!$C$225:$C$228</c:f>
              <c:numCache>
                <c:formatCode>General</c:formatCode>
                <c:ptCount val="4"/>
                <c:pt idx="0">
                  <c:v>1204</c:v>
                </c:pt>
                <c:pt idx="1">
                  <c:v>60</c:v>
                </c:pt>
                <c:pt idx="2">
                  <c:v>759</c:v>
                </c:pt>
                <c:pt idx="3">
                  <c:v>535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354106240"/>
        <c:axId val="2061496320"/>
        <c:axId val="111501600"/>
      </c:bar3DChart>
      <c:catAx>
        <c:axId val="35410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061496320"/>
        <c:crosses val="autoZero"/>
        <c:auto val="1"/>
        <c:lblAlgn val="ctr"/>
        <c:lblOffset val="100"/>
        <c:noMultiLvlLbl val="0"/>
      </c:catAx>
      <c:valAx>
        <c:axId val="206149632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354106240"/>
        <c:crosses val="autoZero"/>
        <c:crossBetween val="between"/>
      </c:valAx>
      <c:serAx>
        <c:axId val="111501600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061496320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chemeClr val="tx1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sz="1400" b="1"/>
              <a:t>Участие в ежегодном комиссионном обследовании железнодорожных переездов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>
              <a:solidFill>
                <a:schemeClr val="tx1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Лист1!$B$226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Лист1!$A$227:$A$229</c:f>
              <c:strCache>
                <c:ptCount val="3"/>
                <c:pt idx="0">
                  <c:v xml:space="preserve">Железнодорожные переезды</c:v>
                </c:pt>
                <c:pt idx="1">
                  <c:v xml:space="preserve">Нарушения обязательных требований</c:v>
                </c:pt>
                <c:pt idx="2">
                  <c:v xml:space="preserve">Инициировано закрытий переездов</c:v>
                </c:pt>
              </c:strCache>
            </c:strRef>
          </c:cat>
          <c:val>
            <c:numRef>
              <c:f>Лист1!$B$227:$B$229</c:f>
              <c:numCache>
                <c:formatCode>General</c:formatCode>
                <c:ptCount val="3"/>
                <c:pt idx="0">
                  <c:v>1766</c:v>
                </c:pt>
                <c:pt idx="1">
                  <c:v>3509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Лист1!$C$226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Лист1!$A$227:$A$229</c:f>
              <c:strCache>
                <c:ptCount val="3"/>
                <c:pt idx="0">
                  <c:v xml:space="preserve">Железнодорожные переезды</c:v>
                </c:pt>
                <c:pt idx="1">
                  <c:v xml:space="preserve">Нарушения обязательных требований</c:v>
                </c:pt>
                <c:pt idx="2">
                  <c:v xml:space="preserve">Инициировано закрытий переездов</c:v>
                </c:pt>
              </c:strCache>
            </c:strRef>
          </c:cat>
          <c:val>
            <c:numRef>
              <c:f>Лист1!$C$227:$C$229</c:f>
              <c:numCache>
                <c:formatCode>General</c:formatCode>
                <c:ptCount val="3"/>
                <c:pt idx="0">
                  <c:v>474</c:v>
                </c:pt>
                <c:pt idx="1">
                  <c:v>1370</c:v>
                </c:pt>
                <c:pt idx="2">
                  <c:v>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1523552063"/>
        <c:axId val="1882141935"/>
        <c:axId val="1705470879"/>
      </c:bar3DChart>
      <c:catAx>
        <c:axId val="1523552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882141935"/>
        <c:crosses val="autoZero"/>
        <c:auto val="1"/>
        <c:lblAlgn val="ctr"/>
        <c:lblOffset val="100"/>
        <c:noMultiLvlLbl val="0"/>
      </c:catAx>
      <c:valAx>
        <c:axId val="1882141935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523552063"/>
        <c:crosses val="autoZero"/>
        <c:crossBetween val="between"/>
      </c:valAx>
      <c:serAx>
        <c:axId val="1705470879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chemeClr val="tx1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882141935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000" b="0" i="0" u="none" strike="noStrike">
                <a:solidFill>
                  <a:schemeClr val="tx1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b="1"/>
              <a:t>АДМИНИСТРАТИВНАЯ ПРАКТИКА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Лист1!$B$86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Лист1!$A$87:$A$89</c:f>
              <c:strCache>
                <c:ptCount val="3"/>
                <c:pt idx="0">
                  <c:v xml:space="preserve">Вынесенные постановления</c:v>
                </c:pt>
                <c:pt idx="1">
                  <c:v xml:space="preserve">Сумма наложенных штрафов</c:v>
                </c:pt>
                <c:pt idx="2">
                  <c:v xml:space="preserve">Внесенные представления</c:v>
                </c:pt>
              </c:strCache>
            </c:strRef>
          </c:cat>
          <c:val>
            <c:numRef>
              <c:f>Лист1!$B$87:$B$89</c:f>
              <c:numCache>
                <c:formatCode>General</c:formatCode>
                <c:ptCount val="3"/>
                <c:pt idx="0">
                  <c:v>282</c:v>
                </c:pt>
                <c:pt idx="1">
                  <c:v>344.3</c:v>
                </c:pt>
                <c:pt idx="2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Лист1!$C$86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Лист1!$A$87:$A$89</c:f>
              <c:strCache>
                <c:ptCount val="3"/>
                <c:pt idx="0">
                  <c:v xml:space="preserve">Вынесенные постановления</c:v>
                </c:pt>
                <c:pt idx="1">
                  <c:v xml:space="preserve">Сумма наложенных штрафов</c:v>
                </c:pt>
                <c:pt idx="2">
                  <c:v xml:space="preserve">Внесенные представления</c:v>
                </c:pt>
              </c:strCache>
            </c:strRef>
          </c:cat>
          <c:val>
            <c:numRef>
              <c:f>Лист1!$C$87:$C$89</c:f>
              <c:numCache>
                <c:formatCode>General</c:formatCode>
                <c:ptCount val="3"/>
                <c:pt idx="0">
                  <c:v>294</c:v>
                </c:pt>
                <c:pt idx="1">
                  <c:v>309.1</c:v>
                </c:pt>
                <c:pt idx="2">
                  <c:v>121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153714592"/>
        <c:axId val="9395472"/>
        <c:axId val="2006747296"/>
      </c:bar3DChart>
      <c:catAx>
        <c:axId val="15371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9395472"/>
        <c:crosses val="autoZero"/>
        <c:auto val="1"/>
        <c:lblAlgn val="ctr"/>
        <c:lblOffset val="100"/>
        <c:noMultiLvlLbl val="0"/>
      </c:catAx>
      <c:valAx>
        <c:axId val="939547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53714592"/>
        <c:crosses val="autoZero"/>
        <c:crossBetween val="between"/>
      </c:valAx>
      <c:serAx>
        <c:axId val="2006747296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9395472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b="1"/>
              <a:t>Распределение причин сходов, допущенных на путях необщего пользования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 xml:space="preserve">'[Причины 08 2024-2024.xlsx]июнь'!$B$230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 xml:space="preserve">'[Причины 08 2024-2024.xlsx]июнь'!$A$231:$A$234</c:f>
              <c:strCache>
                <c:ptCount val="4"/>
                <c:pt idx="0">
                  <c:v xml:space="preserve">Нарушения в текущем содержании пути</c:v>
                </c:pt>
                <c:pt idx="1">
                  <c:v xml:space="preserve">Нарушения технологии маневровой работы</c:v>
                </c:pt>
                <c:pt idx="2">
                  <c:v xml:space="preserve">Нарушения правил ремонта подвижного состава</c:v>
                </c:pt>
                <c:pt idx="3">
                  <c:v xml:space="preserve">Нарушения погрузки, выгрузки груза</c:v>
                </c:pt>
              </c:strCache>
            </c:strRef>
          </c:cat>
          <c:val>
            <c:numRef>
              <c:f xml:space="preserve">'[Причины 08 2024-2024.xlsx]июнь'!$B$231:$B$234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 xml:space="preserve">'[Причины 08 2024-2024.xlsx]июнь'!$C$230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 xml:space="preserve">'[Причины 08 2024-2024.xlsx]июнь'!$A$231:$A$234</c:f>
              <c:strCache>
                <c:ptCount val="4"/>
                <c:pt idx="0">
                  <c:v xml:space="preserve">Нарушения в текущем содержании пути</c:v>
                </c:pt>
                <c:pt idx="1">
                  <c:v xml:space="preserve">Нарушения технологии маневровой работы</c:v>
                </c:pt>
                <c:pt idx="2">
                  <c:v xml:space="preserve">Нарушения правил ремонта подвижного состава</c:v>
                </c:pt>
                <c:pt idx="3">
                  <c:v xml:space="preserve">Нарушения погрузки, выгрузки груза</c:v>
                </c:pt>
              </c:strCache>
            </c:strRef>
          </c:cat>
          <c:val>
            <c:numRef>
              <c:f xml:space="preserve">'[Причины 08 2024-2024.xlsx]июнь'!$C$231:$C$234</c:f>
              <c:numCache>
                <c:formatCode>General</c:formatCode>
                <c:ptCount val="4"/>
                <c:pt idx="0">
                  <c:v>16</c:v>
                </c:pt>
                <c:pt idx="1">
                  <c:v>18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1468596336"/>
        <c:axId val="1686299664"/>
        <c:axId val="1783150992"/>
      </c:bar3DChart>
      <c:catAx>
        <c:axId val="146859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686299664"/>
        <c:crosses val="autoZero"/>
        <c:auto val="1"/>
        <c:lblAlgn val="ctr"/>
        <c:lblOffset val="100"/>
        <c:noMultiLvlLbl val="0"/>
      </c:catAx>
      <c:valAx>
        <c:axId val="1686299664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68596336"/>
        <c:crosses val="autoZero"/>
        <c:crossBetween val="between"/>
      </c:valAx>
      <c:serAx>
        <c:axId val="1783150992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686299664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b="1"/>
              <a:t>СТОЛКНОВЕНИЯ ЖЕЛЕЗНОДОРОЖНОГО ПОДВИЖНОГО СОСТАВА С ТРАНСПОРТНЫМ СРЕДСТВОМ НА ПЕРЕЕЗДАХ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Лист1!$B$488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Лист1!$A$489:$A$494</c:f>
              <c:strCache>
                <c:ptCount val="6"/>
                <c:pt idx="0">
                  <c:v xml:space="preserve">Октябрьская ж.д.</c:v>
                </c:pt>
                <c:pt idx="1">
                  <c:v xml:space="preserve">Северная ж.д.</c:v>
                </c:pt>
                <c:pt idx="2">
                  <c:v xml:space="preserve">Калининградская ж.д.</c:v>
                </c:pt>
                <c:pt idx="3">
                  <c:v xml:space="preserve">Всего по путям общего пользования</c:v>
                </c:pt>
                <c:pt idx="4">
                  <c:v xml:space="preserve">Всего по путям необщего пользования</c:v>
                </c:pt>
                <c:pt idx="5">
                  <c:v>Всего</c:v>
                </c:pt>
              </c:strCache>
            </c:strRef>
          </c:cat>
          <c:val>
            <c:numRef>
              <c:f>Лист1!$B$489:$B$494</c:f>
              <c:numCache>
                <c:formatCode>General</c:formatCode>
                <c:ptCount val="6"/>
                <c:pt idx="0">
                  <c:v>15</c:v>
                </c:pt>
                <c:pt idx="1">
                  <c:v>14</c:v>
                </c:pt>
                <c:pt idx="2">
                  <c:v>1</c:v>
                </c:pt>
                <c:pt idx="3">
                  <c:v>30</c:v>
                </c:pt>
                <c:pt idx="4">
                  <c:v>2</c:v>
                </c:pt>
                <c:pt idx="5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Лист1!$C$488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Лист1!$A$489:$A$494</c:f>
              <c:strCache>
                <c:ptCount val="6"/>
                <c:pt idx="0">
                  <c:v xml:space="preserve">Октябрьская ж.д.</c:v>
                </c:pt>
                <c:pt idx="1">
                  <c:v xml:space="preserve">Северная ж.д.</c:v>
                </c:pt>
                <c:pt idx="2">
                  <c:v xml:space="preserve">Калининградская ж.д.</c:v>
                </c:pt>
                <c:pt idx="3">
                  <c:v xml:space="preserve">Всего по путям общего пользования</c:v>
                </c:pt>
                <c:pt idx="4">
                  <c:v xml:space="preserve">Всего по путям необщего пользования</c:v>
                </c:pt>
                <c:pt idx="5">
                  <c:v>Всего</c:v>
                </c:pt>
              </c:strCache>
            </c:strRef>
          </c:cat>
          <c:val>
            <c:numRef>
              <c:f>Лист1!$C$489:$C$494</c:f>
              <c:numCache>
                <c:formatCode>General</c:formatCode>
                <c:ptCount val="6"/>
                <c:pt idx="0">
                  <c:v>12</c:v>
                </c:pt>
                <c:pt idx="1">
                  <c:v>9</c:v>
                </c:pt>
                <c:pt idx="2">
                  <c:v>2</c:v>
                </c:pt>
                <c:pt idx="3">
                  <c:v>23</c:v>
                </c:pt>
                <c:pt idx="4">
                  <c:v>3</c:v>
                </c:pt>
                <c:pt idx="5">
                  <c:v>26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406776832"/>
        <c:axId val="406770600"/>
        <c:axId val="318947048"/>
      </c:bar3DChart>
      <c:catAx>
        <c:axId val="40677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406770600"/>
        <c:crosses val="autoZero"/>
        <c:auto val="1"/>
        <c:lblAlgn val="ctr"/>
        <c:lblOffset val="100"/>
        <c:noMultiLvlLbl val="0"/>
      </c:catAx>
      <c:valAx>
        <c:axId val="40677060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406776832"/>
        <c:crosses val="autoZero"/>
        <c:crossBetween val="between"/>
      </c:valAx>
      <c:serAx>
        <c:axId val="318947048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406770600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b="1"/>
              <a:t>Распределение событий, допущенных при перевозке опасных грузов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Лист1!$B$196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Лист1!$A$197:$A$199</c:f>
              <c:strCache>
                <c:ptCount val="3"/>
                <c:pt idx="0">
                  <c:v xml:space="preserve">Октябрьская ж.д.</c:v>
                </c:pt>
                <c:pt idx="1">
                  <c:v xml:space="preserve">Северная ж.д.</c:v>
                </c:pt>
                <c:pt idx="2">
                  <c:v xml:space="preserve">Калининградская ж.д.</c:v>
                </c:pt>
              </c:strCache>
            </c:strRef>
          </c:cat>
          <c:val>
            <c:numRef>
              <c:f>Лист1!$B$197:$B$199</c:f>
              <c:numCache>
                <c:formatCode>General</c:formatCode>
                <c:ptCount val="3"/>
                <c:pt idx="0">
                  <c:v>12</c:v>
                </c:pt>
                <c:pt idx="1">
                  <c:v>26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Лист1!$C$196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Лист1!$A$197:$A$199</c:f>
              <c:strCache>
                <c:ptCount val="3"/>
                <c:pt idx="0">
                  <c:v xml:space="preserve">Октябрьская ж.д.</c:v>
                </c:pt>
                <c:pt idx="1">
                  <c:v xml:space="preserve">Северная ж.д.</c:v>
                </c:pt>
                <c:pt idx="2">
                  <c:v xml:space="preserve">Калининградская ж.д.</c:v>
                </c:pt>
              </c:strCache>
            </c:strRef>
          </c:cat>
          <c:val>
            <c:numRef>
              <c:f>Лист1!$C$197:$C$199</c:f>
              <c:numCache>
                <c:formatCode>General</c:formatCode>
                <c:ptCount val="3"/>
                <c:pt idx="0">
                  <c:v>5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109746416"/>
        <c:axId val="122733792"/>
        <c:axId val="111502528"/>
      </c:bar3DChart>
      <c:catAx>
        <c:axId val="210974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22733792"/>
        <c:crosses val="autoZero"/>
        <c:auto val="1"/>
        <c:lblAlgn val="ctr"/>
        <c:lblOffset val="100"/>
        <c:noMultiLvlLbl val="0"/>
      </c:catAx>
      <c:valAx>
        <c:axId val="12273379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109746416"/>
        <c:crosses val="autoZero"/>
        <c:crossBetween val="between"/>
      </c:valAx>
      <c:serAx>
        <c:axId val="111502528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22733792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b="1"/>
              <a:t>Количество пострадавших не связанных с производством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Лист1!$B$501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Лист1!$A$502:$A$504</c:f>
              <c:strCache>
                <c:ptCount val="3"/>
                <c:pt idx="0">
                  <c:v>Октябрьская</c:v>
                </c:pt>
                <c:pt idx="1">
                  <c:v>Калининградская</c:v>
                </c:pt>
                <c:pt idx="2">
                  <c:v>Северная</c:v>
                </c:pt>
              </c:strCache>
            </c:strRef>
          </c:cat>
          <c:val>
            <c:numRef>
              <c:f>Лист1!$B$502:$B$504</c:f>
              <c:numCache>
                <c:formatCode>General</c:formatCode>
                <c:ptCount val="3"/>
                <c:pt idx="0">
                  <c:v>143</c:v>
                </c:pt>
                <c:pt idx="1">
                  <c:v>8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Лист1!$C$501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Лист1!$A$502:$A$504</c:f>
              <c:strCache>
                <c:ptCount val="3"/>
                <c:pt idx="0">
                  <c:v>Октябрьская</c:v>
                </c:pt>
                <c:pt idx="1">
                  <c:v>Калининградская</c:v>
                </c:pt>
                <c:pt idx="2">
                  <c:v>Северная</c:v>
                </c:pt>
              </c:strCache>
            </c:strRef>
          </c:cat>
          <c:val>
            <c:numRef>
              <c:f>Лист1!$C$502:$C$504</c:f>
              <c:numCache>
                <c:formatCode>General</c:formatCode>
                <c:ptCount val="3"/>
                <c:pt idx="0">
                  <c:v>127</c:v>
                </c:pt>
                <c:pt idx="1">
                  <c:v>8</c:v>
                </c:pt>
                <c:pt idx="2">
                  <c:v>25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501445096"/>
        <c:axId val="501445424"/>
        <c:axId val="457674424"/>
      </c:bar3DChart>
      <c:catAx>
        <c:axId val="501445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01445424"/>
        <c:crosses val="autoZero"/>
        <c:auto val="1"/>
        <c:lblAlgn val="ctr"/>
        <c:lblOffset val="100"/>
        <c:noMultiLvlLbl val="0"/>
      </c:catAx>
      <c:valAx>
        <c:axId val="50144542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01445096"/>
        <c:crosses val="autoZero"/>
        <c:crossBetween val="between"/>
      </c:valAx>
      <c:serAx>
        <c:axId val="457674424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01445424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sz="1600" b="1"/>
              <a:t>КНМ с взаимодействием с контролируемым лицом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Лист1!$B$470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Лист1!$A$471:$A$473</c:f>
              <c:strCache>
                <c:ptCount val="3"/>
                <c:pt idx="0">
                  <c:v xml:space="preserve">Внеплановые выездные проверки</c:v>
                </c:pt>
                <c:pt idx="1">
                  <c:v xml:space="preserve">Плановые выездные проверки</c:v>
                </c:pt>
                <c:pt idx="2">
                  <c:v>Итого</c:v>
                </c:pt>
              </c:strCache>
            </c:strRef>
          </c:cat>
          <c:val>
            <c:numRef>
              <c:f>Лист1!$B$471:$B$473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Лист1!$C$470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Лист1!$A$471:$A$473</c:f>
              <c:strCache>
                <c:ptCount val="3"/>
                <c:pt idx="0">
                  <c:v xml:space="preserve">Внеплановые выездные проверки</c:v>
                </c:pt>
                <c:pt idx="1">
                  <c:v xml:space="preserve">Плановые выездные проверки</c:v>
                </c:pt>
                <c:pt idx="2">
                  <c:v>Итого</c:v>
                </c:pt>
              </c:strCache>
            </c:strRef>
          </c:cat>
          <c:val>
            <c:numRef>
              <c:f>Лист1!$C$471:$C$473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21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712107744"/>
        <c:axId val="712106760"/>
        <c:axId val="772615856"/>
      </c:bar3DChart>
      <c:catAx>
        <c:axId val="71210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712106760"/>
        <c:crosses val="autoZero"/>
        <c:auto val="1"/>
        <c:lblAlgn val="ctr"/>
        <c:lblOffset val="100"/>
        <c:noMultiLvlLbl val="0"/>
      </c:catAx>
      <c:valAx>
        <c:axId val="71210676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712107744"/>
        <c:crosses val="autoZero"/>
        <c:crossBetween val="between"/>
      </c:valAx>
      <c:serAx>
        <c:axId val="772615856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712106760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sz="1600" b="1"/>
              <a:t>КНМ без взаимодействия с контролируемым лицом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Лист1!$B$531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Лист1!$A$532:$A$534</c:f>
              <c:strCache>
                <c:ptCount val="3"/>
                <c:pt idx="0">
                  <c:v xml:space="preserve">Наблюдение за соблюдением обязательных требований, ед.</c:v>
                </c:pt>
                <c:pt idx="1">
                  <c:v xml:space="preserve">Выездное обследование,ед.</c:v>
                </c:pt>
                <c:pt idx="2">
                  <c:v>Всего</c:v>
                </c:pt>
              </c:strCache>
            </c:strRef>
          </c:cat>
          <c:val>
            <c:numRef>
              <c:f>Лист1!$B$532:$B$534</c:f>
              <c:numCache>
                <c:formatCode>General</c:formatCode>
                <c:ptCount val="3"/>
                <c:pt idx="0">
                  <c:v>146</c:v>
                </c:pt>
                <c:pt idx="1">
                  <c:v>406</c:v>
                </c:pt>
                <c:pt idx="2">
                  <c:v>552</c:v>
                </c:pt>
              </c:numCache>
            </c:numRef>
          </c:val>
        </c:ser>
        <c:ser>
          <c:idx val="1"/>
          <c:order val="1"/>
          <c:tx>
            <c:strRef>
              <c:f>Лист1!$C$531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Лист1!$A$532:$A$534</c:f>
              <c:strCache>
                <c:ptCount val="3"/>
                <c:pt idx="0">
                  <c:v xml:space="preserve">Наблюдение за соблюдением обязательных требований, ед.</c:v>
                </c:pt>
                <c:pt idx="1">
                  <c:v xml:space="preserve">Выездное обследование,ед.</c:v>
                </c:pt>
                <c:pt idx="2">
                  <c:v>Всего</c:v>
                </c:pt>
              </c:strCache>
            </c:strRef>
          </c:cat>
          <c:val>
            <c:numRef>
              <c:f>Лист1!$C$532:$C$534</c:f>
              <c:numCache>
                <c:formatCode>General</c:formatCode>
                <c:ptCount val="3"/>
                <c:pt idx="0">
                  <c:v>149</c:v>
                </c:pt>
                <c:pt idx="1">
                  <c:v>1202</c:v>
                </c:pt>
                <c:pt idx="2">
                  <c:v>1351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537090672"/>
        <c:axId val="537087064"/>
        <c:axId val="443569056"/>
      </c:bar3DChart>
      <c:catAx>
        <c:axId val="53709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37087064"/>
        <c:crosses val="autoZero"/>
        <c:auto val="1"/>
        <c:lblAlgn val="ctr"/>
        <c:lblOffset val="100"/>
        <c:noMultiLvlLbl val="0"/>
      </c:catAx>
      <c:valAx>
        <c:axId val="53708706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37090672"/>
        <c:crosses val="autoZero"/>
        <c:crossBetween val="between"/>
      </c:valAx>
      <c:serAx>
        <c:axId val="443569056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37087064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sz="1600" b="1"/>
              <a:t>Обеспечение доступности маломобильным гражданам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Лист1!$B$43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Лист1!$A$44:$A$47</c:f>
              <c:strCache>
                <c:ptCount val="4"/>
                <c:pt idx="0">
                  <c:v xml:space="preserve">Количество обследованных объектов инфраструктуры</c:v>
                </c:pt>
                <c:pt idx="1">
                  <c:v xml:space="preserve">Нарушения обязательных требований</c:v>
                </c:pt>
                <c:pt idx="2">
                  <c:v xml:space="preserve">Количество осмотренного подвижного состава</c:v>
                </c:pt>
                <c:pt idx="3">
                  <c:v xml:space="preserve">Нарушения обязательных требований</c:v>
                </c:pt>
              </c:strCache>
            </c:strRef>
          </c:cat>
          <c:val>
            <c:numRef>
              <c:f>Лист1!$B$44:$B$47</c:f>
              <c:numCache>
                <c:formatCode>General</c:formatCode>
                <c:ptCount val="4"/>
                <c:pt idx="0">
                  <c:v>238</c:v>
                </c:pt>
                <c:pt idx="1">
                  <c:v>422</c:v>
                </c:pt>
                <c:pt idx="2">
                  <c:v>323</c:v>
                </c:pt>
                <c:pt idx="3">
                  <c:v>118</c:v>
                </c:pt>
              </c:numCache>
            </c:numRef>
          </c:val>
        </c:ser>
        <c:ser>
          <c:idx val="1"/>
          <c:order val="1"/>
          <c:tx>
            <c:strRef>
              <c:f>Лист1!$C$43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Лист1!$A$44:$A$47</c:f>
              <c:strCache>
                <c:ptCount val="4"/>
                <c:pt idx="0">
                  <c:v xml:space="preserve">Количество обследованных объектов инфраструктуры</c:v>
                </c:pt>
                <c:pt idx="1">
                  <c:v xml:space="preserve">Нарушения обязательных требований</c:v>
                </c:pt>
                <c:pt idx="2">
                  <c:v xml:space="preserve">Количество осмотренного подвижного состава</c:v>
                </c:pt>
                <c:pt idx="3">
                  <c:v xml:space="preserve">Нарушения обязательных требований</c:v>
                </c:pt>
              </c:strCache>
            </c:strRef>
          </c:cat>
          <c:val>
            <c:numRef>
              <c:f>Лист1!$C$44:$C$47</c:f>
              <c:numCache>
                <c:formatCode>General</c:formatCode>
                <c:ptCount val="4"/>
                <c:pt idx="0">
                  <c:v>1099</c:v>
                </c:pt>
                <c:pt idx="1">
                  <c:v>1663</c:v>
                </c:pt>
                <c:pt idx="2">
                  <c:v>3156</c:v>
                </c:pt>
                <c:pt idx="3">
                  <c:v>628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05027440"/>
        <c:axId val="122745440"/>
        <c:axId val="118948384"/>
      </c:bar3DChart>
      <c:catAx>
        <c:axId val="20502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22745440"/>
        <c:crosses val="autoZero"/>
        <c:auto val="1"/>
        <c:lblAlgn val="ctr"/>
        <c:lblOffset val="100"/>
        <c:noMultiLvlLbl val="0"/>
      </c:catAx>
      <c:valAx>
        <c:axId val="12274544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05027440"/>
        <c:crosses val="autoZero"/>
        <c:crossBetween val="between"/>
      </c:valAx>
      <c:serAx>
        <c:axId val="118948384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22745440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spc="0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r>
              <a:rPr lang="ru-RU" sz="1600" b="1"/>
              <a:t>Участие в проверках с транспортными прокуратурами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spc="0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Лист1!$B$213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Лист1!$A$214:$A$215</c:f>
              <c:strCache>
                <c:ptCount val="2"/>
                <c:pt idx="0">
                  <c:v xml:space="preserve">Количество проверок</c:v>
                </c:pt>
                <c:pt idx="1">
                  <c:v xml:space="preserve">Выявлено нарушений</c:v>
                </c:pt>
              </c:strCache>
            </c:strRef>
          </c:cat>
          <c:val>
            <c:numRef>
              <c:f>Лист1!$B$214:$B$215</c:f>
              <c:numCache>
                <c:formatCode>General</c:formatCode>
                <c:ptCount val="2"/>
                <c:pt idx="0">
                  <c:v>87</c:v>
                </c:pt>
                <c:pt idx="1">
                  <c:v>992</c:v>
                </c:pt>
              </c:numCache>
            </c:numRef>
          </c:val>
        </c:ser>
        <c:ser>
          <c:idx val="1"/>
          <c:order val="1"/>
          <c:tx>
            <c:strRef>
              <c:f>Лист1!$C$213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ysClr val="window" lastClr="ffffff"/>
              </a:solidFill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Лист1!$A$214:$A$215</c:f>
              <c:strCache>
                <c:ptCount val="2"/>
                <c:pt idx="0">
                  <c:v xml:space="preserve">Количество проверок</c:v>
                </c:pt>
                <c:pt idx="1">
                  <c:v xml:space="preserve">Выявлено нарушений</c:v>
                </c:pt>
              </c:strCache>
            </c:strRef>
          </c:cat>
          <c:val>
            <c:numRef>
              <c:f>Лист1!$C$214:$C$215</c:f>
              <c:numCache>
                <c:formatCode>General</c:formatCode>
                <c:ptCount val="2"/>
                <c:pt idx="0">
                  <c:v>132</c:v>
                </c:pt>
                <c:pt idx="1">
                  <c:v>1912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109745216"/>
        <c:axId val="2136996640"/>
        <c:axId val="111524800"/>
      </c:bar3DChart>
      <c:catAx>
        <c:axId val="210974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136996640"/>
        <c:crosses val="autoZero"/>
        <c:auto val="1"/>
        <c:lblAlgn val="ctr"/>
        <c:lblOffset val="100"/>
        <c:noMultiLvlLbl val="0"/>
      </c:catAx>
      <c:valAx>
        <c:axId val="213699664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109745216"/>
        <c:crosses val="autoZero"/>
        <c:crossBetween val="between"/>
      </c:valAx>
      <c:serAx>
        <c:axId val="111524800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2136996640"/>
        <c:crosses val="autoZero"/>
      </c:ser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Легкий дым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Times New Roman/Arial">
      <a:majorFont>
        <a:latin typeface="Times New Roman"/>
        <a:ea typeface="Arial"/>
        <a:cs typeface="Arial"/>
      </a:majorFont>
      <a:minorFont>
        <a:latin typeface="Arial"/>
        <a:ea typeface="Arial"/>
        <a:cs typeface="Arial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AF35-E584-4B70-90E4-A482F1DF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79213</dc:creator>
  <cp:keywords/>
  <dc:description/>
  <cp:revision>4</cp:revision>
  <dcterms:created xsi:type="dcterms:W3CDTF">2025-11-14T07:24:00Z</dcterms:created>
  <dcterms:modified xsi:type="dcterms:W3CDTF">2025-11-28T12:40:50Z</dcterms:modified>
</cp:coreProperties>
</file>